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6B" w:rsidRPr="00DA5539" w:rsidRDefault="00214A6B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bookmarkStart w:id="0" w:name="_GoBack"/>
      <w:bookmarkEnd w:id="0"/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Pr="009160B7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1.249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9160B7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19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9160B7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MARÇO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9160B7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214A6B" w:rsidRPr="0043781D" w:rsidRDefault="00214A6B">
      <w:pPr>
        <w:spacing w:after="0" w:line="200" w:lineRule="exact"/>
        <w:rPr>
          <w:sz w:val="20"/>
          <w:szCs w:val="20"/>
          <w:lang w:val="pt-BR"/>
        </w:rPr>
      </w:pPr>
    </w:p>
    <w:p w:rsidR="00214A6B" w:rsidRPr="0043781D" w:rsidRDefault="00214A6B">
      <w:pPr>
        <w:spacing w:after="0" w:line="200" w:lineRule="exact"/>
        <w:rPr>
          <w:sz w:val="20"/>
          <w:szCs w:val="20"/>
          <w:lang w:val="pt-BR"/>
        </w:rPr>
      </w:pPr>
    </w:p>
    <w:p w:rsidR="00214A6B" w:rsidRDefault="00214A6B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9160B7">
        <w:rPr>
          <w:rFonts w:ascii="Calibri" w:eastAsia="Calibri" w:hAnsi="Calibri" w:cs="Calibri"/>
          <w:noProof/>
          <w:lang w:val="pt-BR"/>
        </w:rPr>
        <w:t>Confere a honraria Cidadão Araraquarense ao Excelentíssimo Senhor Tarcísio Gomes de Freitas.</w:t>
      </w:r>
    </w:p>
    <w:p w:rsidR="00214A6B" w:rsidRPr="0043781D" w:rsidRDefault="00214A6B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214A6B" w:rsidRPr="0043781D" w:rsidRDefault="00214A6B">
      <w:pPr>
        <w:spacing w:before="3" w:after="0" w:line="130" w:lineRule="exact"/>
        <w:rPr>
          <w:sz w:val="13"/>
          <w:szCs w:val="13"/>
          <w:lang w:val="pt-BR"/>
        </w:rPr>
      </w:pPr>
    </w:p>
    <w:p w:rsidR="00214A6B" w:rsidRPr="00454A5D" w:rsidRDefault="00214A6B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9160B7">
        <w:rPr>
          <w:rFonts w:cstheme="minorHAnsi"/>
          <w:noProof/>
          <w:sz w:val="24"/>
          <w:szCs w:val="24"/>
          <w:lang w:val="pt-BR"/>
        </w:rPr>
        <w:t>9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9160B7">
        <w:rPr>
          <w:rFonts w:cstheme="minorHAnsi"/>
          <w:noProof/>
          <w:sz w:val="24"/>
          <w:szCs w:val="24"/>
          <w:lang w:val="pt-BR"/>
        </w:rPr>
        <w:t>19</w:t>
      </w:r>
      <w:r>
        <w:rPr>
          <w:rFonts w:cstheme="minorHAnsi"/>
          <w:sz w:val="24"/>
          <w:szCs w:val="24"/>
          <w:lang w:val="pt-BR"/>
        </w:rPr>
        <w:t>/</w:t>
      </w:r>
      <w:r w:rsidRPr="009160B7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214A6B" w:rsidRPr="00DA5539" w:rsidRDefault="00214A6B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214A6B" w:rsidRPr="0043781D" w:rsidRDefault="00214A6B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9160B7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Cidadão Araraquarense ao Excelentíssimo Senhor Tarcísio Gomes de Freitas.</w:t>
      </w:r>
    </w:p>
    <w:p w:rsidR="00214A6B" w:rsidRPr="00C77973" w:rsidRDefault="00214A6B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214A6B" w:rsidRPr="00C77973" w:rsidRDefault="00214A6B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214A6B" w:rsidRDefault="00214A6B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</w:p>
    <w:p w:rsidR="00214A6B" w:rsidRPr="0043781D" w:rsidRDefault="00214A6B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9160B7">
        <w:rPr>
          <w:rFonts w:ascii="Calibri" w:hAnsi="Calibri" w:cs="Calibri"/>
          <w:noProof/>
          <w:sz w:val="24"/>
          <w:szCs w:val="24"/>
          <w:lang w:val="pt-BR"/>
        </w:rPr>
        <w:t>19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9160B7">
        <w:rPr>
          <w:rFonts w:ascii="Calibri" w:hAnsi="Calibri" w:cs="Calibri"/>
          <w:noProof/>
          <w:sz w:val="24"/>
          <w:szCs w:val="24"/>
          <w:lang w:val="pt-BR"/>
        </w:rPr>
        <w:t>março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9160B7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214A6B" w:rsidRDefault="00214A6B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214A6B" w:rsidRDefault="00214A6B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214A6B" w:rsidRDefault="00214A6B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214A6B" w:rsidRDefault="00214A6B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214A6B" w:rsidRDefault="00214A6B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214A6B" w:rsidRDefault="00214A6B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214A6B" w:rsidRDefault="00214A6B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214A6B" w:rsidRDefault="00214A6B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214A6B" w:rsidRDefault="00214A6B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214A6B" w:rsidRDefault="00214A6B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214A6B" w:rsidRDefault="00214A6B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214A6B" w:rsidRDefault="00214A6B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214A6B" w:rsidRDefault="00214A6B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214A6B" w:rsidRDefault="00214A6B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</w:pPr>
    </w:p>
    <w:p w:rsidR="00214A6B" w:rsidRDefault="00214A6B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214A6B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9160B7">
        <w:rPr>
          <w:rFonts w:ascii="Calibri" w:hAnsi="Calibri" w:cs="Calibri"/>
          <w:noProof/>
          <w:sz w:val="18"/>
          <w:szCs w:val="18"/>
          <w:lang w:val="pt-BR"/>
        </w:rPr>
        <w:t>21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9160B7">
        <w:rPr>
          <w:rFonts w:ascii="Calibri" w:hAnsi="Calibri" w:cs="Calibri"/>
          <w:noProof/>
          <w:sz w:val="18"/>
          <w:szCs w:val="18"/>
          <w:lang w:val="pt-BR"/>
        </w:rPr>
        <w:t>março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9160B7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214A6B" w:rsidRDefault="00214A6B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214A6B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214A6B" w:rsidRDefault="00214A6B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214A6B" w:rsidSect="00214A6B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05" w:rsidRDefault="00E65A05">
      <w:pPr>
        <w:spacing w:after="0" w:line="240" w:lineRule="auto"/>
      </w:pPr>
      <w:r>
        <w:separator/>
      </w:r>
    </w:p>
  </w:endnote>
  <w:endnote w:type="continuationSeparator" w:id="0">
    <w:p w:rsidR="00E65A05" w:rsidRDefault="00E6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6B" w:rsidRDefault="00214A6B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6B" w:rsidRDefault="00214A6B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214A6B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214A6B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05" w:rsidRDefault="00E65A05">
      <w:pPr>
        <w:spacing w:after="0" w:line="240" w:lineRule="auto"/>
      </w:pPr>
      <w:r>
        <w:separator/>
      </w:r>
    </w:p>
  </w:footnote>
  <w:footnote w:type="continuationSeparator" w:id="0">
    <w:p w:rsidR="00E65A05" w:rsidRDefault="00E6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6B" w:rsidRDefault="00214A6B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4A6B" w:rsidRPr="005A4D0D" w:rsidRDefault="00214A6B" w:rsidP="00BE2603">
    <w:pPr>
      <w:jc w:val="center"/>
      <w:rPr>
        <w:rFonts w:ascii="Times New Roman" w:hAnsi="Times New Roman" w:cs="Times New Roman"/>
        <w:smallCaps/>
        <w:sz w:val="44"/>
        <w:szCs w:val="44"/>
        <w:lang w:val="pt-BR"/>
      </w:rPr>
    </w:pPr>
    <w:r w:rsidRPr="005A4D0D">
      <w:rPr>
        <w:rFonts w:ascii="Times New Roman" w:hAnsi="Times New Roman" w:cs="Times New Roman"/>
        <w:smallCaps/>
        <w:sz w:val="44"/>
        <w:szCs w:val="44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6B" w:rsidRDefault="00214A6B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4A6B" w:rsidRPr="00BE2603" w:rsidRDefault="00214A6B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6BE1"/>
    <w:rsid w:val="000F10F5"/>
    <w:rsid w:val="0010502D"/>
    <w:rsid w:val="0013665F"/>
    <w:rsid w:val="00136B34"/>
    <w:rsid w:val="00193E7B"/>
    <w:rsid w:val="001F5117"/>
    <w:rsid w:val="00205372"/>
    <w:rsid w:val="00211D3C"/>
    <w:rsid w:val="00214A6B"/>
    <w:rsid w:val="002317C1"/>
    <w:rsid w:val="00246605"/>
    <w:rsid w:val="00270610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3781D"/>
    <w:rsid w:val="00443ACF"/>
    <w:rsid w:val="00474E7C"/>
    <w:rsid w:val="004F58EF"/>
    <w:rsid w:val="005011A8"/>
    <w:rsid w:val="0055676E"/>
    <w:rsid w:val="0057657E"/>
    <w:rsid w:val="00584B53"/>
    <w:rsid w:val="005A4D0D"/>
    <w:rsid w:val="005B064F"/>
    <w:rsid w:val="005B56E5"/>
    <w:rsid w:val="005C499A"/>
    <w:rsid w:val="005E396E"/>
    <w:rsid w:val="006006D8"/>
    <w:rsid w:val="006010EB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D0932"/>
    <w:rsid w:val="006F317C"/>
    <w:rsid w:val="00702644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6A68"/>
    <w:rsid w:val="0082773E"/>
    <w:rsid w:val="00856AD3"/>
    <w:rsid w:val="00863333"/>
    <w:rsid w:val="008704E8"/>
    <w:rsid w:val="00894904"/>
    <w:rsid w:val="008E687C"/>
    <w:rsid w:val="008E713F"/>
    <w:rsid w:val="008F2066"/>
    <w:rsid w:val="008F6467"/>
    <w:rsid w:val="009104E5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81A88"/>
    <w:rsid w:val="00B92FE2"/>
    <w:rsid w:val="00B95C82"/>
    <w:rsid w:val="00BE2603"/>
    <w:rsid w:val="00BF7C91"/>
    <w:rsid w:val="00C05189"/>
    <w:rsid w:val="00C478C6"/>
    <w:rsid w:val="00C56B96"/>
    <w:rsid w:val="00C832FA"/>
    <w:rsid w:val="00CD67CE"/>
    <w:rsid w:val="00D35669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65A05"/>
    <w:rsid w:val="00EB6227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2B260-09C4-4C0A-996B-7B58313A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1</cp:revision>
  <dcterms:created xsi:type="dcterms:W3CDTF">2025-03-19T13:20:00Z</dcterms:created>
  <dcterms:modified xsi:type="dcterms:W3CDTF">2025-03-19T13:21:00Z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