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4F6D8E" w:rsidTr="0086780D">
        <w:tc>
          <w:tcPr>
            <w:tcW w:w="2552" w:type="dxa"/>
          </w:tcPr>
          <w:p w:rsidR="006848DA" w:rsidRPr="006848DA" w:rsidRDefault="00E84E37"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E84E37"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202</w:t>
            </w:r>
          </w:p>
        </w:tc>
        <w:tc>
          <w:tcPr>
            <w:tcW w:w="1797" w:type="dxa"/>
          </w:tcPr>
          <w:p w:rsidR="006848DA" w:rsidRPr="006848DA" w:rsidRDefault="00E84E37" w:rsidP="00F73F94">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21</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E84E37"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Lei nº 146/2021</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E84E37"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197/2021</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E84E37"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THAINARA FARIA, LUCAS GRECCO</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E84E37"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Dispõe sobre a divulgação do crime de receptação nos estabelecimentos que especifica.</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848DA" w:rsidRDefault="00E84E37"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t>Propositura formalmente em ordem, atendendo às normas regimentais vigentes.</w:t>
      </w:r>
    </w:p>
    <w:p w:rsidR="00EE65D0" w:rsidRPr="006848DA" w:rsidRDefault="00EE65D0"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EE65D0">
        <w:rPr>
          <w:rFonts w:ascii="Arial" w:eastAsia="Times New Roman" w:hAnsi="Arial" w:cs="Arial"/>
          <w:szCs w:val="24"/>
          <w:lang w:eastAsia="pt-BR"/>
        </w:rPr>
        <w:t>A matéria trazida a lume, por meio da propositura apresentada pelo</w:t>
      </w:r>
      <w:r>
        <w:rPr>
          <w:rFonts w:ascii="Arial" w:eastAsia="Times New Roman" w:hAnsi="Arial" w:cs="Arial"/>
          <w:szCs w:val="24"/>
          <w:lang w:eastAsia="pt-BR"/>
        </w:rPr>
        <w:t>s</w:t>
      </w:r>
      <w:r w:rsidRPr="00EE65D0">
        <w:rPr>
          <w:rFonts w:ascii="Arial" w:eastAsia="Times New Roman" w:hAnsi="Arial" w:cs="Arial"/>
          <w:szCs w:val="24"/>
          <w:lang w:eastAsia="pt-BR"/>
        </w:rPr>
        <w:t xml:space="preserve"> digníssimo</w:t>
      </w:r>
      <w:r>
        <w:rPr>
          <w:rFonts w:ascii="Arial" w:eastAsia="Times New Roman" w:hAnsi="Arial" w:cs="Arial"/>
          <w:szCs w:val="24"/>
          <w:lang w:eastAsia="pt-BR"/>
        </w:rPr>
        <w:t>s edis</w:t>
      </w:r>
      <w:r w:rsidRPr="00EE65D0">
        <w:rPr>
          <w:rFonts w:ascii="Arial" w:eastAsia="Times New Roman" w:hAnsi="Arial" w:cs="Arial"/>
          <w:szCs w:val="24"/>
          <w:lang w:eastAsia="pt-BR"/>
        </w:rPr>
        <w:t xml:space="preserve"> em epígrafe, merece minuciosa análise constitucional e legal, tendo em vista a necessidade de verificar se máculas provenientes de inconstitucionalidades a corrói, o que – já se antecipa – não se observa, tanto pela perspectiva formal quanto material. </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 xml:space="preserve">Nesta vereda, será o Município competente para tratar do assunto, a propósito, legislar sobre? Afinal, de qual assunto se trata? Diante deste aspecto formal e respondendo tais indagações, cumpre destacar que ao analisar a processualística legislativa que se deve constitucionalmente adotar e confrontá-la com a produção legislativa da propositura, quanto à forma orgânica desta, não há que se falar em vício, uma vez que não se olvida que compete ao Município legislar sobre matéria de interesse local, a teor do que dispõe o art. 30, inc. I, da Constituição Federal (CF), notadamente – como é o caso – acerca de </w:t>
      </w:r>
      <w:r>
        <w:rPr>
          <w:rFonts w:ascii="Arial" w:eastAsia="Times New Roman" w:hAnsi="Arial" w:cs="Arial"/>
          <w:szCs w:val="24"/>
          <w:lang w:eastAsia="pt-BR"/>
        </w:rPr>
        <w:t>poder de polícia administrativo</w:t>
      </w:r>
      <w:r w:rsidRPr="00EE65D0">
        <w:rPr>
          <w:rFonts w:ascii="Arial" w:eastAsia="Times New Roman" w:hAnsi="Arial" w:cs="Arial"/>
          <w:szCs w:val="24"/>
          <w:lang w:eastAsia="pt-BR"/>
        </w:rPr>
        <w:t xml:space="preserve">. </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 xml:space="preserve"> </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 xml:space="preserve">Irradia-se da propositura em tela hialino interesse público, condizente com o mencionado poder nos termos do ordenamento jurídico pátrio, </w:t>
      </w:r>
      <w:r w:rsidRPr="00EE65D0">
        <w:rPr>
          <w:rFonts w:ascii="Arial" w:eastAsia="Times New Roman" w:hAnsi="Arial" w:cs="Arial"/>
          <w:i/>
          <w:szCs w:val="24"/>
          <w:lang w:eastAsia="pt-BR"/>
        </w:rPr>
        <w:t>ex vi</w:t>
      </w:r>
      <w:r w:rsidRPr="00EE65D0">
        <w:rPr>
          <w:rFonts w:ascii="Arial" w:eastAsia="Times New Roman" w:hAnsi="Arial" w:cs="Arial"/>
          <w:szCs w:val="24"/>
          <w:lang w:eastAsia="pt-BR"/>
        </w:rPr>
        <w:t xml:space="preserve"> do </w:t>
      </w:r>
      <w:r w:rsidRPr="00EE65D0">
        <w:rPr>
          <w:rFonts w:ascii="Arial" w:eastAsia="Times New Roman" w:hAnsi="Arial" w:cs="Arial"/>
          <w:i/>
          <w:szCs w:val="24"/>
          <w:lang w:eastAsia="pt-BR"/>
        </w:rPr>
        <w:t>caput</w:t>
      </w:r>
      <w:r w:rsidRPr="00EE65D0">
        <w:rPr>
          <w:rFonts w:ascii="Arial" w:eastAsia="Times New Roman" w:hAnsi="Arial" w:cs="Arial"/>
          <w:szCs w:val="24"/>
          <w:lang w:eastAsia="pt-BR"/>
        </w:rPr>
        <w:t xml:space="preserve"> do art. 78 do Código Tributário Nacional. </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Ultrapassada tal vertente do aspecto formal, no tocante à iniciativa, não se verifica indevida ingerência do Poder Legislativo no âmbito de atuação do Chefe do Poder Executivo, seja por não se tratar de competência exclusiva deste, seja por não veicular matéria relacionada à reserva de Administração.</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 xml:space="preserve">Trata-se, com efeito, de norma de polícia administrativa, matéria de competência comum ou concorrente entre Legislativo e Executivo. </w:t>
      </w:r>
    </w:p>
    <w:p w:rsid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Prestigia-se, ademais, </w:t>
      </w:r>
      <w:r w:rsidR="00474AFB">
        <w:rPr>
          <w:rFonts w:ascii="Arial" w:eastAsia="Times New Roman" w:hAnsi="Arial" w:cs="Arial"/>
          <w:szCs w:val="24"/>
          <w:lang w:eastAsia="pt-BR"/>
        </w:rPr>
        <w:t>o princípio d</w:t>
      </w:r>
      <w:r>
        <w:rPr>
          <w:rFonts w:ascii="Arial" w:eastAsia="Times New Roman" w:hAnsi="Arial" w:cs="Arial"/>
          <w:szCs w:val="24"/>
          <w:lang w:eastAsia="pt-BR"/>
        </w:rPr>
        <w:t>a publicidade</w:t>
      </w:r>
      <w:r w:rsidR="00474AFB">
        <w:rPr>
          <w:rFonts w:ascii="Arial" w:eastAsia="Times New Roman" w:hAnsi="Arial" w:cs="Arial"/>
          <w:szCs w:val="24"/>
          <w:lang w:eastAsia="pt-BR"/>
        </w:rPr>
        <w:t xml:space="preserve">. </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 xml:space="preserve">Diante disso, pode </w:t>
      </w:r>
      <w:r w:rsidR="00474AFB">
        <w:rPr>
          <w:rFonts w:ascii="Arial" w:eastAsia="Times New Roman" w:hAnsi="Arial" w:cs="Arial"/>
          <w:szCs w:val="24"/>
          <w:lang w:eastAsia="pt-BR"/>
        </w:rPr>
        <w:t xml:space="preserve">a vereança </w:t>
      </w:r>
      <w:r w:rsidRPr="00EE65D0">
        <w:rPr>
          <w:rFonts w:ascii="Arial" w:eastAsia="Times New Roman" w:hAnsi="Arial" w:cs="Arial"/>
          <w:szCs w:val="24"/>
          <w:lang w:eastAsia="pt-BR"/>
        </w:rPr>
        <w:t xml:space="preserve">legislar sobre o assunto, prerrogativa que se coaduna com o entendimento translúcido do Supremo </w:t>
      </w:r>
      <w:r w:rsidRPr="00EE65D0">
        <w:rPr>
          <w:rFonts w:ascii="Arial" w:eastAsia="Times New Roman" w:hAnsi="Arial" w:cs="Arial"/>
          <w:szCs w:val="24"/>
          <w:lang w:eastAsia="pt-BR"/>
        </w:rPr>
        <w:lastRenderedPageBreak/>
        <w:t xml:space="preserve">Tribunal Federal (Tema de Repercussão Geral nº 917) de que a iniciativa reservada, por constituir matéria de direito estrito, não se presume e nem comporta interpretação ampliativa, </w:t>
      </w:r>
      <w:r w:rsidR="00474AFB">
        <w:rPr>
          <w:rFonts w:ascii="Arial" w:eastAsia="Times New Roman" w:hAnsi="Arial" w:cs="Arial"/>
          <w:szCs w:val="24"/>
          <w:lang w:eastAsia="pt-BR"/>
        </w:rPr>
        <w:t xml:space="preserve">na medida em que - por implicar </w:t>
      </w:r>
      <w:r w:rsidRPr="00EE65D0">
        <w:rPr>
          <w:rFonts w:ascii="Arial" w:eastAsia="Times New Roman" w:hAnsi="Arial" w:cs="Arial"/>
          <w:szCs w:val="24"/>
          <w:lang w:eastAsia="pt-BR"/>
        </w:rPr>
        <w:t xml:space="preserve">limitação ao poder de instauração do processo legislativo – deve necessariamente derivar de norma constitucional explícita e inequívoca. </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 xml:space="preserve">Logo, os casos de inciativa reservada são apenas aqueles expressamente previstos, </w:t>
      </w:r>
      <w:r w:rsidRPr="00474AFB">
        <w:rPr>
          <w:rFonts w:ascii="Arial" w:eastAsia="Times New Roman" w:hAnsi="Arial" w:cs="Arial"/>
          <w:i/>
          <w:szCs w:val="24"/>
          <w:lang w:eastAsia="pt-BR"/>
        </w:rPr>
        <w:t>in casu</w:t>
      </w:r>
      <w:r w:rsidRPr="00EE65D0">
        <w:rPr>
          <w:rFonts w:ascii="Arial" w:eastAsia="Times New Roman" w:hAnsi="Arial" w:cs="Arial"/>
          <w:szCs w:val="24"/>
          <w:lang w:eastAsia="pt-BR"/>
        </w:rPr>
        <w:t xml:space="preserve">, </w:t>
      </w:r>
      <w:r w:rsidR="00474AFB">
        <w:rPr>
          <w:rFonts w:ascii="Arial" w:eastAsia="Times New Roman" w:hAnsi="Arial" w:cs="Arial"/>
          <w:szCs w:val="24"/>
          <w:lang w:eastAsia="pt-BR"/>
        </w:rPr>
        <w:t>na CF</w:t>
      </w:r>
      <w:r w:rsidRPr="00EE65D0">
        <w:rPr>
          <w:rFonts w:ascii="Arial" w:eastAsia="Times New Roman" w:hAnsi="Arial" w:cs="Arial"/>
          <w:szCs w:val="24"/>
          <w:lang w:eastAsia="pt-BR"/>
        </w:rPr>
        <w:t>, mas ne</w:t>
      </w:r>
      <w:r w:rsidR="00474AFB">
        <w:rPr>
          <w:rFonts w:ascii="Arial" w:eastAsia="Times New Roman" w:hAnsi="Arial" w:cs="Arial"/>
          <w:szCs w:val="24"/>
          <w:lang w:eastAsia="pt-BR"/>
        </w:rPr>
        <w:t xml:space="preserve">nhum deles prevê que as leis que versam sobre publicidade e, sobretudo, poder de polícia </w:t>
      </w:r>
      <w:r w:rsidRPr="00EE65D0">
        <w:rPr>
          <w:rFonts w:ascii="Arial" w:eastAsia="Times New Roman" w:hAnsi="Arial" w:cs="Arial"/>
          <w:szCs w:val="24"/>
          <w:lang w:eastAsia="pt-BR"/>
        </w:rPr>
        <w:t>devam ser iniciadas pelo Executivo, entendimento esse que, aliás, significaria limitar a função normativa da Câmara, a qual seria transformada em mera chanceladora das proposituras do Executivo, situação inconcebível num Estado Democrático de Direito inaugurado pela Constituição de 1988.</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EE65D0" w:rsidP="00474AFB">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Noutra esteira, adentrando-se na esfera conteudística da proposição, repisa-se que esta versa sobre o</w:t>
      </w:r>
      <w:r w:rsidR="00474AFB">
        <w:rPr>
          <w:rFonts w:ascii="Arial" w:eastAsia="Times New Roman" w:hAnsi="Arial" w:cs="Arial"/>
          <w:szCs w:val="24"/>
          <w:lang w:eastAsia="pt-BR"/>
        </w:rPr>
        <w:t xml:space="preserve"> poder de polícia administrativo</w:t>
      </w:r>
      <w:r w:rsidRPr="00EE65D0">
        <w:rPr>
          <w:rFonts w:ascii="Arial" w:eastAsia="Times New Roman" w:hAnsi="Arial" w:cs="Arial"/>
          <w:szCs w:val="24"/>
          <w:lang w:eastAsia="pt-BR"/>
        </w:rPr>
        <w:t xml:space="preserve"> do Município de Araraquara, instituindo normas de segurança direcionadas</w:t>
      </w:r>
      <w:r w:rsidR="00474AFB">
        <w:rPr>
          <w:rFonts w:ascii="Arial" w:eastAsia="Times New Roman" w:hAnsi="Arial" w:cs="Arial"/>
          <w:szCs w:val="24"/>
          <w:lang w:eastAsia="pt-BR"/>
        </w:rPr>
        <w:t>, especificadamente, a</w:t>
      </w:r>
      <w:r w:rsidRPr="00EE65D0">
        <w:rPr>
          <w:rFonts w:ascii="Arial" w:eastAsia="Times New Roman" w:hAnsi="Arial" w:cs="Arial"/>
          <w:szCs w:val="24"/>
          <w:lang w:eastAsia="pt-BR"/>
        </w:rPr>
        <w:t xml:space="preserve"> </w:t>
      </w:r>
      <w:r w:rsidR="00474AFB" w:rsidRPr="00474AFB">
        <w:rPr>
          <w:rFonts w:ascii="Arial" w:eastAsia="Times New Roman" w:hAnsi="Arial" w:cs="Arial"/>
          <w:szCs w:val="24"/>
          <w:lang w:eastAsia="pt-BR"/>
        </w:rPr>
        <w:t>estabelecimentos relacionados a</w:t>
      </w:r>
      <w:r w:rsidR="00474AFB">
        <w:rPr>
          <w:rFonts w:ascii="Arial" w:eastAsia="Times New Roman" w:hAnsi="Arial" w:cs="Arial"/>
          <w:szCs w:val="24"/>
          <w:lang w:eastAsia="pt-BR"/>
        </w:rPr>
        <w:t xml:space="preserve"> </w:t>
      </w:r>
      <w:r w:rsidR="00474AFB" w:rsidRPr="00474AFB">
        <w:rPr>
          <w:rFonts w:ascii="Arial" w:eastAsia="Times New Roman" w:hAnsi="Arial" w:cs="Arial"/>
          <w:szCs w:val="24"/>
          <w:lang w:eastAsia="pt-BR"/>
        </w:rPr>
        <w:t>compra e venda de</w:t>
      </w:r>
      <w:r w:rsidR="00474AFB">
        <w:rPr>
          <w:rFonts w:ascii="Arial" w:eastAsia="Times New Roman" w:hAnsi="Arial" w:cs="Arial"/>
          <w:szCs w:val="24"/>
          <w:lang w:eastAsia="pt-BR"/>
        </w:rPr>
        <w:t xml:space="preserve"> peças usadas de qualquer tipo, ferros velhos, desmanches e </w:t>
      </w:r>
      <w:r w:rsidR="00474AFB" w:rsidRPr="00474AFB">
        <w:rPr>
          <w:rFonts w:ascii="Arial" w:eastAsia="Times New Roman" w:hAnsi="Arial" w:cs="Arial"/>
          <w:szCs w:val="24"/>
          <w:lang w:eastAsia="pt-BR"/>
        </w:rPr>
        <w:t>compra e venda de sucatas, materiais recicláveis ou congêneres</w:t>
      </w:r>
      <w:r w:rsidR="00474AFB">
        <w:rPr>
          <w:rFonts w:ascii="Arial" w:eastAsia="Times New Roman" w:hAnsi="Arial" w:cs="Arial"/>
          <w:szCs w:val="24"/>
          <w:lang w:eastAsia="pt-BR"/>
        </w:rPr>
        <w:t xml:space="preserve">. </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 xml:space="preserve">Sobre mencionado poder, vide minuciosa lição de Maria Sylvia Zanella di Pietro: </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474AFB" w:rsidRDefault="00EE65D0" w:rsidP="00474AFB">
      <w:pPr>
        <w:tabs>
          <w:tab w:val="left" w:pos="709"/>
          <w:tab w:val="left" w:pos="1418"/>
        </w:tabs>
        <w:autoSpaceDE w:val="0"/>
        <w:autoSpaceDN w:val="0"/>
        <w:spacing w:line="240" w:lineRule="auto"/>
        <w:ind w:left="2268"/>
        <w:jc w:val="both"/>
        <w:rPr>
          <w:rFonts w:ascii="Arial" w:eastAsia="Times New Roman" w:hAnsi="Arial" w:cs="Arial"/>
          <w:sz w:val="22"/>
          <w:lang w:eastAsia="pt-BR"/>
        </w:rPr>
      </w:pPr>
      <w:r w:rsidRPr="00474AFB">
        <w:rPr>
          <w:rFonts w:ascii="Arial" w:eastAsia="Times New Roman" w:hAnsi="Arial" w:cs="Arial"/>
          <w:sz w:val="22"/>
          <w:lang w:eastAsia="pt-BR"/>
        </w:rPr>
        <w:t>“</w:t>
      </w:r>
      <w:r w:rsidRPr="00474AFB">
        <w:rPr>
          <w:rFonts w:ascii="Arial" w:eastAsia="Times New Roman" w:hAnsi="Arial" w:cs="Arial"/>
          <w:sz w:val="22"/>
          <w:u w:val="single"/>
          <w:lang w:eastAsia="pt-BR"/>
        </w:rPr>
        <w:t>o poder de polícia é a atividade do Estado consistente em limitar o exercício dos direitos individuais em benefício do interesse público. Esse interesse público diz respeito aos mais variados setores da sociedade, tais como segurança, moral, saúde, meio ambiente, defesa do consumidor, patrimônio cultural, propriedade</w:t>
      </w:r>
      <w:r w:rsidRPr="00474AFB">
        <w:rPr>
          <w:rFonts w:ascii="Arial" w:eastAsia="Times New Roman" w:hAnsi="Arial" w:cs="Arial"/>
          <w:sz w:val="22"/>
          <w:lang w:eastAsia="pt-BR"/>
        </w:rPr>
        <w:t xml:space="preserve">. Daí a divisão da polícia administrativa em vários ramos: </w:t>
      </w:r>
      <w:r w:rsidRPr="00474AFB">
        <w:rPr>
          <w:rFonts w:ascii="Arial" w:eastAsia="Times New Roman" w:hAnsi="Arial" w:cs="Arial"/>
          <w:sz w:val="22"/>
          <w:u w:val="single"/>
          <w:lang w:eastAsia="pt-BR"/>
        </w:rPr>
        <w:t>polícia de segurança</w:t>
      </w:r>
      <w:r w:rsidRPr="00474AFB">
        <w:rPr>
          <w:rFonts w:ascii="Arial" w:eastAsia="Times New Roman" w:hAnsi="Arial" w:cs="Arial"/>
          <w:sz w:val="22"/>
          <w:lang w:eastAsia="pt-BR"/>
        </w:rPr>
        <w:t xml:space="preserve">, das florestas, das águas de trânsito, sanitária, etc. (...) O poder de polícia reparte-se entre Legislativo e Executivo. Tomando-se como pressuposto o princípio da legalidade, que impede a Administração impor obrigações ou proibições senão em virtude de lei, é evidente que, quando se diz que o poder de polícia é a faculdade de limitar o exercício de direitos individuais, está-se pressupondo que essa limitação seja prevista em lei. </w:t>
      </w:r>
      <w:r w:rsidRPr="00474AFB">
        <w:rPr>
          <w:rFonts w:ascii="Arial" w:eastAsia="Times New Roman" w:hAnsi="Arial" w:cs="Arial"/>
          <w:sz w:val="22"/>
          <w:u w:val="single"/>
          <w:lang w:eastAsia="pt-BR"/>
        </w:rPr>
        <w:t>O Poder Legislativo, no exercício do poder de polícia que incumbe ao Estado, cria, por leis, as chamadas limitações administrativas ao exercício das liberdades públicas.</w:t>
      </w:r>
      <w:r w:rsidRPr="00474AFB">
        <w:rPr>
          <w:rFonts w:ascii="Arial" w:eastAsia="Times New Roman" w:hAnsi="Arial" w:cs="Arial"/>
          <w:sz w:val="22"/>
          <w:lang w:eastAsia="pt-BR"/>
        </w:rPr>
        <w:t xml:space="preserve"> A Administração Pública, no exercício da parcela que lhe é outorgada do mesmo poder, regulamenta as leis e controla a sua aplicação, preventivamente (por meio de ordens, notificações, licenças ou autorizações) ou repressivamente (mediante imposição de medidas coercitivas)” (Direito Administrativo, Editora Forense, 29ª edição, págs. 155/156). (</w:t>
      </w:r>
      <w:r w:rsidRPr="00474AFB">
        <w:rPr>
          <w:rFonts w:ascii="Arial" w:eastAsia="Times New Roman" w:hAnsi="Arial" w:cs="Arial"/>
          <w:i/>
          <w:sz w:val="22"/>
          <w:u w:val="single"/>
          <w:lang w:eastAsia="pt-BR"/>
        </w:rPr>
        <w:t>grifos nossos</w:t>
      </w:r>
      <w:r w:rsidRPr="00474AFB">
        <w:rPr>
          <w:rFonts w:ascii="Arial" w:eastAsia="Times New Roman" w:hAnsi="Arial" w:cs="Arial"/>
          <w:sz w:val="22"/>
          <w:lang w:eastAsia="pt-BR"/>
        </w:rPr>
        <w:t xml:space="preserve">) </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 xml:space="preserve">Por oportuno, cabe ressaltar que a propositura em apreço enuncia norma abstrata e genérica, restringindo-se a estabelecer condições impessoais de segurança de interesse da coletividade, delimitando, assim, o âmbito e os </w:t>
      </w:r>
      <w:r w:rsidRPr="00EE65D0">
        <w:rPr>
          <w:rFonts w:ascii="Arial" w:eastAsia="Times New Roman" w:hAnsi="Arial" w:cs="Arial"/>
          <w:szCs w:val="24"/>
          <w:lang w:eastAsia="pt-BR"/>
        </w:rPr>
        <w:lastRenderedPageBreak/>
        <w:t>limites a serem observados posteriormente pelo Poder Executivo quanto à fiscalização e imposição de sanções em caso de inobservância de seus preceitos.</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À vista disso, o poder de polícia conferido ao Município de Araraquara permite-lhe cominar restrições aos direitos dos indivíduos e às liberdades públicas, interferindo na órbita particular para preservar o interesse público.</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Nesse diapasão, a fiscalização no âmbito das posturas e obras municipais é poder-dever inerente à polícia administrativa e, por isso mesmo, não gera despesas diretas ao Município.</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Vale dizer, “se eventualmente será ou não necessária criação de novos cargos de fiscalização, ou mesmo se será ou não necessária atividade suplementar de servidores, e se isso provocará ou não maiores gastos por parte do Poder Público, é algo que dependerá essencialmente da opção político-administrativa, calcada na esfera da conveniência e oportunidade, a cargo do Chefe do Poder Executivo Municipal. E essa avaliação e decisão ocorrerão no âmbito administrativo, não decorrendo diretamente da lei impugnada” (Ação Direta de Inconstitucionalidade nº 2222759-52.2014.8.26.0000, Relator designado Desembargador Paulo Dimas Mascaretti, TJSP).</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r>
      <w:r w:rsidRPr="00474AFB">
        <w:rPr>
          <w:rFonts w:ascii="Arial" w:eastAsia="Times New Roman" w:hAnsi="Arial" w:cs="Arial"/>
          <w:i/>
          <w:szCs w:val="24"/>
          <w:lang w:eastAsia="pt-BR"/>
        </w:rPr>
        <w:t>Ipso facto</w:t>
      </w:r>
      <w:r w:rsidRPr="00EE65D0">
        <w:rPr>
          <w:rFonts w:ascii="Arial" w:eastAsia="Times New Roman" w:hAnsi="Arial" w:cs="Arial"/>
          <w:szCs w:val="24"/>
          <w:lang w:eastAsia="pt-BR"/>
        </w:rPr>
        <w:t xml:space="preserve">, ainda que assim não fosse, a jurisprudência do C. Órgão Especial do Tribunal de Justiça do Estado de São Paulo (TJSP) é no sentido de que a ausência de especificação de fonte de custeio apenas conduz à inexequibilidade da norma no ano em que foi aprovada, isso sem falar que o projeto de lei complementar em jogo não diz respeito às diretrizes orçamentárias e tampouco ao orçamento anual, não traduzindo infringência a dispositivo legal ou constitucional algum.  </w:t>
      </w:r>
    </w:p>
    <w:p w:rsidR="00474AFB" w:rsidRDefault="00474AFB"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474AFB" w:rsidRDefault="00474AFB"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E57070">
        <w:rPr>
          <w:rFonts w:ascii="Arial" w:eastAsia="Times New Roman" w:hAnsi="Arial" w:cs="Arial"/>
          <w:szCs w:val="24"/>
          <w:lang w:eastAsia="pt-BR"/>
        </w:rPr>
        <w:t xml:space="preserve">Ao fim e ao cabo, é importante discorrer sobre o princípio da proporcionalidade, o qual – no caso – tem o condão de limitar a atuação do poder público, de modo a proibir eventuais excessos. Estes, aqui, não são verificados. </w:t>
      </w:r>
    </w:p>
    <w:p w:rsidR="00E57070" w:rsidRDefault="00E5707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57070" w:rsidRDefault="00E57070" w:rsidP="00E5707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E57070">
        <w:rPr>
          <w:rFonts w:ascii="Arial" w:eastAsia="Times New Roman" w:hAnsi="Arial" w:cs="Arial"/>
          <w:szCs w:val="24"/>
          <w:lang w:eastAsia="pt-BR"/>
        </w:rPr>
        <w:t xml:space="preserve">Sobre os postulados da razoabilidade e proporcionalidade, leciona </w:t>
      </w:r>
    </w:p>
    <w:p w:rsidR="00E57070" w:rsidRDefault="00E57070" w:rsidP="00E5707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Luís Roberto Barroso:</w:t>
      </w:r>
      <w:r w:rsidRPr="00E57070">
        <w:rPr>
          <w:rFonts w:ascii="Arial" w:eastAsia="Times New Roman" w:hAnsi="Arial" w:cs="Arial"/>
          <w:szCs w:val="24"/>
          <w:lang w:eastAsia="pt-BR"/>
        </w:rPr>
        <w:t xml:space="preserve"> </w:t>
      </w:r>
    </w:p>
    <w:p w:rsidR="00E57070" w:rsidRDefault="00E57070" w:rsidP="00E5707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57070" w:rsidRDefault="00E57070" w:rsidP="00E57070">
      <w:pPr>
        <w:tabs>
          <w:tab w:val="left" w:pos="709"/>
          <w:tab w:val="left" w:pos="1418"/>
        </w:tabs>
        <w:autoSpaceDE w:val="0"/>
        <w:autoSpaceDN w:val="0"/>
        <w:spacing w:line="240" w:lineRule="auto"/>
        <w:ind w:left="2268"/>
        <w:jc w:val="both"/>
        <w:rPr>
          <w:rFonts w:ascii="Arial" w:eastAsia="Times New Roman" w:hAnsi="Arial" w:cs="Arial"/>
          <w:sz w:val="22"/>
          <w:lang w:eastAsia="pt-BR"/>
        </w:rPr>
      </w:pPr>
      <w:r w:rsidRPr="00E57070">
        <w:rPr>
          <w:rFonts w:ascii="Arial" w:eastAsia="Times New Roman" w:hAnsi="Arial" w:cs="Arial"/>
          <w:sz w:val="22"/>
          <w:lang w:eastAsia="pt-BR"/>
        </w:rPr>
        <w:t xml:space="preserve">“O princípio da razoabilidade-proporcionalidade, termos aqui empregados de modo fungível, não está expresso na Constituição, mas tem seu fundamento nas ideias de devido processo legal substantivo e na de justiça. Trata-se de um valioso instrumento de proteção dos direitos fundamentais e do interesse público, por permitir o controle da discricionariedade dos atos do Poder Público e por funcionar como a medida com que uma norma deve ser interceptada no caso concreto para a melhor realização do fim constitucional nela embutido ou </w:t>
      </w:r>
      <w:r w:rsidRPr="00E57070">
        <w:rPr>
          <w:rFonts w:ascii="Arial" w:eastAsia="Times New Roman" w:hAnsi="Arial" w:cs="Arial"/>
          <w:sz w:val="22"/>
          <w:lang w:eastAsia="pt-BR"/>
        </w:rPr>
        <w:lastRenderedPageBreak/>
        <w:t>decorrente do sistema.” (“Curso de Direito Constitucional” Ed. Saraiva 4ª edição 2013 p. 328)</w:t>
      </w:r>
    </w:p>
    <w:p w:rsidR="00E57070" w:rsidRPr="00E57070" w:rsidRDefault="00E57070" w:rsidP="00E57070">
      <w:pPr>
        <w:tabs>
          <w:tab w:val="left" w:pos="709"/>
          <w:tab w:val="left" w:pos="1418"/>
        </w:tabs>
        <w:autoSpaceDE w:val="0"/>
        <w:autoSpaceDN w:val="0"/>
        <w:spacing w:line="240" w:lineRule="auto"/>
        <w:ind w:left="2268"/>
        <w:jc w:val="both"/>
        <w:rPr>
          <w:rFonts w:ascii="Arial" w:eastAsia="Times New Roman" w:hAnsi="Arial" w:cs="Arial"/>
          <w:sz w:val="22"/>
          <w:lang w:eastAsia="pt-BR"/>
        </w:rPr>
      </w:pPr>
    </w:p>
    <w:p w:rsidR="00E57070" w:rsidRDefault="00E57070" w:rsidP="00E5707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Pr="00E57070">
        <w:rPr>
          <w:rFonts w:ascii="Arial" w:eastAsia="Times New Roman" w:hAnsi="Arial" w:cs="Arial"/>
          <w:szCs w:val="24"/>
          <w:lang w:eastAsia="pt-BR"/>
        </w:rPr>
        <w:t>N</w:t>
      </w:r>
      <w:r>
        <w:rPr>
          <w:rFonts w:ascii="Arial" w:eastAsia="Times New Roman" w:hAnsi="Arial" w:cs="Arial"/>
          <w:szCs w:val="24"/>
          <w:lang w:eastAsia="pt-BR"/>
        </w:rPr>
        <w:t xml:space="preserve">ão destoa Ana Paula Ávila, </w:t>
      </w:r>
      <w:r>
        <w:rPr>
          <w:rFonts w:ascii="Arial" w:eastAsia="Times New Roman" w:hAnsi="Arial" w:cs="Arial"/>
          <w:i/>
          <w:szCs w:val="24"/>
          <w:lang w:eastAsia="pt-BR"/>
        </w:rPr>
        <w:t>ipsis verbis</w:t>
      </w:r>
      <w:r w:rsidRPr="00E57070">
        <w:rPr>
          <w:rFonts w:ascii="Arial" w:eastAsia="Times New Roman" w:hAnsi="Arial" w:cs="Arial"/>
          <w:szCs w:val="24"/>
          <w:lang w:eastAsia="pt-BR"/>
        </w:rPr>
        <w:t>:</w:t>
      </w:r>
    </w:p>
    <w:p w:rsidR="00E57070" w:rsidRDefault="00E57070" w:rsidP="00E5707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57070" w:rsidRPr="00E57070" w:rsidRDefault="00E57070" w:rsidP="00E57070">
      <w:pPr>
        <w:tabs>
          <w:tab w:val="left" w:pos="709"/>
          <w:tab w:val="left" w:pos="1418"/>
        </w:tabs>
        <w:autoSpaceDE w:val="0"/>
        <w:autoSpaceDN w:val="0"/>
        <w:spacing w:line="240" w:lineRule="auto"/>
        <w:ind w:left="2268"/>
        <w:jc w:val="both"/>
        <w:rPr>
          <w:rFonts w:ascii="Arial" w:eastAsia="Times New Roman" w:hAnsi="Arial" w:cs="Arial"/>
          <w:sz w:val="22"/>
          <w:lang w:eastAsia="pt-BR"/>
        </w:rPr>
      </w:pPr>
      <w:r w:rsidRPr="00E57070">
        <w:rPr>
          <w:rFonts w:ascii="Arial" w:eastAsia="Times New Roman" w:hAnsi="Arial" w:cs="Arial"/>
          <w:sz w:val="22"/>
          <w:lang w:eastAsia="pt-BR"/>
        </w:rPr>
        <w:t>“Pela ideia de proporcionalidade, quer-se impor, nas relações que se estabelecem entre o Poder Público e os cidadãos, que os direitos individuais somente sejam restringidos na medida do estritamente necessário ao alcance das finalidades públicas almejadas pelo Estado. Assim, somente será proporcional a restrição a direito por uma medida que seja adequada para atingir o fim público, que seja a menos restritiva possível ao direito individual e cujas vantagens promovidas pelo fim visado compensem o prejuízo causado ao direito objeto de restrição.”</w:t>
      </w:r>
    </w:p>
    <w:p w:rsidR="00E57070" w:rsidRPr="00E57070" w:rsidRDefault="00E57070" w:rsidP="00E57070">
      <w:pPr>
        <w:tabs>
          <w:tab w:val="left" w:pos="709"/>
          <w:tab w:val="left" w:pos="1418"/>
        </w:tabs>
        <w:autoSpaceDE w:val="0"/>
        <w:autoSpaceDN w:val="0"/>
        <w:spacing w:line="240" w:lineRule="auto"/>
        <w:ind w:left="2268"/>
        <w:jc w:val="both"/>
        <w:rPr>
          <w:rFonts w:ascii="Arial" w:eastAsia="Times New Roman" w:hAnsi="Arial" w:cs="Arial"/>
          <w:sz w:val="22"/>
          <w:lang w:eastAsia="pt-BR"/>
        </w:rPr>
      </w:pPr>
      <w:r w:rsidRPr="00E57070">
        <w:rPr>
          <w:rFonts w:ascii="Arial" w:eastAsia="Times New Roman" w:hAnsi="Arial" w:cs="Arial"/>
          <w:sz w:val="22"/>
          <w:lang w:eastAsia="pt-BR"/>
        </w:rPr>
        <w:t>(...)</w:t>
      </w:r>
    </w:p>
    <w:p w:rsidR="00E57070" w:rsidRPr="00E57070" w:rsidRDefault="00E57070" w:rsidP="00E57070">
      <w:pPr>
        <w:tabs>
          <w:tab w:val="left" w:pos="709"/>
          <w:tab w:val="left" w:pos="1418"/>
        </w:tabs>
        <w:autoSpaceDE w:val="0"/>
        <w:autoSpaceDN w:val="0"/>
        <w:spacing w:line="240" w:lineRule="auto"/>
        <w:ind w:left="2268"/>
        <w:jc w:val="both"/>
        <w:rPr>
          <w:rFonts w:ascii="Arial" w:eastAsia="Times New Roman" w:hAnsi="Arial" w:cs="Arial"/>
          <w:sz w:val="22"/>
          <w:lang w:eastAsia="pt-BR"/>
        </w:rPr>
      </w:pPr>
      <w:r w:rsidRPr="00E57070">
        <w:rPr>
          <w:rFonts w:ascii="Arial" w:eastAsia="Times New Roman" w:hAnsi="Arial" w:cs="Arial"/>
          <w:sz w:val="22"/>
          <w:lang w:eastAsia="pt-BR"/>
        </w:rPr>
        <w:t>“Sua relevância decorre do reconhecimento dos direitos fundamentais como parte da Constituição em sentido material e por isso, a proporcionalidade, vocacionada à proteção desses direitos, constitui um dos fundamentos do próprio Estado de Direito.” ( “A Modulação de Efeitos Temporais pelo STF no Controle de Constitucionalidade” - Ed. Livraria do Advogado 2009 p. 134)</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57070" w:rsidRDefault="00EE65D0" w:rsidP="00AA35D2">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r>
      <w:r w:rsidR="00AA35D2">
        <w:rPr>
          <w:rFonts w:ascii="Arial" w:eastAsia="Times New Roman" w:hAnsi="Arial" w:cs="Arial"/>
          <w:szCs w:val="24"/>
          <w:lang w:eastAsia="pt-BR"/>
        </w:rPr>
        <w:t>A obrigação incutida na propositura não se revela despropositada e exagerada, tampouco impõe</w:t>
      </w:r>
      <w:r w:rsidR="00AA35D2" w:rsidRPr="00AA35D2">
        <w:rPr>
          <w:rFonts w:ascii="Arial" w:eastAsia="Times New Roman" w:hAnsi="Arial" w:cs="Arial"/>
          <w:szCs w:val="24"/>
          <w:lang w:eastAsia="pt-BR"/>
        </w:rPr>
        <w:t xml:space="preserve"> gravame excessivo e d</w:t>
      </w:r>
      <w:r w:rsidR="00AA35D2">
        <w:rPr>
          <w:rFonts w:ascii="Arial" w:eastAsia="Times New Roman" w:hAnsi="Arial" w:cs="Arial"/>
          <w:szCs w:val="24"/>
          <w:lang w:eastAsia="pt-BR"/>
        </w:rPr>
        <w:t xml:space="preserve">esnecessário aos particulares que especifica, os quais desempenhas atividades que merecem uma atenção especial do poder público municipal. </w:t>
      </w:r>
    </w:p>
    <w:p w:rsidR="00E57070" w:rsidRDefault="00E5707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EE65D0" w:rsidRPr="00EE65D0" w:rsidRDefault="00AA35D2"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Post omnes, o Projeto de Lei nº 146/2021 </w:t>
      </w:r>
      <w:r w:rsidR="00EE65D0" w:rsidRPr="00EE65D0">
        <w:rPr>
          <w:rFonts w:ascii="Arial" w:eastAsia="Times New Roman" w:hAnsi="Arial" w:cs="Arial"/>
          <w:szCs w:val="24"/>
          <w:lang w:eastAsia="pt-BR"/>
        </w:rPr>
        <w:t xml:space="preserve">é constitucional, devendo prosperar pelas razões aqui ventiladas, por isto. </w:t>
      </w:r>
    </w:p>
    <w:p w:rsidR="00EE65D0" w:rsidRPr="00EE65D0"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p>
    <w:p w:rsidR="006848DA" w:rsidRDefault="00EE65D0" w:rsidP="00EE65D0">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EE65D0">
        <w:rPr>
          <w:rFonts w:ascii="Arial" w:eastAsia="Times New Roman" w:hAnsi="Arial" w:cs="Arial"/>
          <w:szCs w:val="24"/>
          <w:lang w:eastAsia="pt-BR"/>
        </w:rPr>
        <w:tab/>
      </w:r>
      <w:r w:rsidRPr="00EE65D0">
        <w:rPr>
          <w:rFonts w:ascii="Arial" w:eastAsia="Times New Roman" w:hAnsi="Arial" w:cs="Arial"/>
          <w:szCs w:val="24"/>
          <w:lang w:eastAsia="pt-BR"/>
        </w:rPr>
        <w:tab/>
        <w:t>Quanto ao mérito, o plenário – soberano – decidirá.</w:t>
      </w:r>
    </w:p>
    <w:p w:rsidR="006848DA" w:rsidRPr="006848DA" w:rsidRDefault="00EE65D0"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p>
    <w:p w:rsidR="006848DA" w:rsidRPr="006848DA" w:rsidRDefault="00E84E37"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w:t>
      </w:r>
      <w:r w:rsidRPr="006848DA">
        <w:rPr>
          <w:rFonts w:ascii="Arial" w:eastAsia="Times New Roman" w:hAnsi="Arial" w:cs="Arial"/>
          <w:szCs w:val="24"/>
          <w:lang w:eastAsia="pt-BR"/>
        </w:rPr>
        <w:t xml:space="preserve"> Comissão de Tributação, Finanças e Orçamento </w:t>
      </w:r>
      <w:r>
        <w:rPr>
          <w:rFonts w:ascii="Arial" w:eastAsia="Times New Roman" w:hAnsi="Arial" w:cs="Arial"/>
          <w:szCs w:val="24"/>
          <w:lang w:eastAsia="pt-BR"/>
        </w:rPr>
        <w:t>para manifestação</w:t>
      </w:r>
      <w:r w:rsidRPr="006848DA">
        <w:rPr>
          <w:rFonts w:ascii="Arial" w:eastAsia="Times New Roman" w:hAnsi="Arial" w:cs="Arial"/>
          <w:szCs w:val="24"/>
          <w:lang w:eastAsia="pt-BR"/>
        </w:rPr>
        <w:t>.</w:t>
      </w:r>
      <w:r>
        <w:rPr>
          <w:rFonts w:ascii="Arial" w:eastAsia="Times New Roman" w:hAnsi="Arial" w:cs="Arial"/>
          <w:szCs w:val="24"/>
          <w:lang w:eastAsia="pt-BR"/>
        </w:rPr>
        <w:t xml:space="preserve"> </w:t>
      </w:r>
    </w:p>
    <w:p w:rsidR="006848DA" w:rsidRPr="006848DA" w:rsidRDefault="00E84E37"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 xml:space="preserve"> </w:t>
      </w:r>
    </w:p>
    <w:p w:rsidR="006848DA" w:rsidRPr="006848DA" w:rsidRDefault="00E84E37"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t>Pela legalidade.</w:t>
      </w:r>
    </w:p>
    <w:p w:rsidR="006848DA" w:rsidRPr="006848DA" w:rsidRDefault="00E84E37"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p>
    <w:p w:rsidR="006848DA" w:rsidRPr="006848DA" w:rsidRDefault="00E84E37"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7F3122" w:rsidRPr="007F3122" w:rsidRDefault="00E84E37"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Sa</w:t>
      </w:r>
      <w:r w:rsidR="00043FD0">
        <w:rPr>
          <w:rFonts w:ascii="Arial" w:eastAsia="Times New Roman" w:hAnsi="Arial" w:cs="Arial"/>
          <w:bCs/>
          <w:szCs w:val="24"/>
          <w:lang w:eastAsia="pt-BR"/>
        </w:rPr>
        <w:t>la de reuniões das comissões, 12</w:t>
      </w:r>
      <w:bookmarkStart w:id="0" w:name="_GoBack"/>
      <w:bookmarkEnd w:id="0"/>
      <w:r w:rsidRPr="007F3122">
        <w:rPr>
          <w:rFonts w:ascii="Arial" w:eastAsia="Times New Roman" w:hAnsi="Arial" w:cs="Arial"/>
          <w:bCs/>
          <w:szCs w:val="24"/>
          <w:lang w:eastAsia="pt-BR"/>
        </w:rPr>
        <w:t xml:space="preserve"> de </w:t>
      </w:r>
      <w:r w:rsidR="00AE437A">
        <w:rPr>
          <w:rFonts w:ascii="Arial" w:eastAsia="Times New Roman" w:hAnsi="Arial" w:cs="Arial"/>
          <w:bCs/>
          <w:szCs w:val="24"/>
          <w:lang w:eastAsia="pt-BR"/>
        </w:rPr>
        <w:t xml:space="preserve">julho </w:t>
      </w:r>
      <w:r w:rsidRPr="007F3122">
        <w:rPr>
          <w:rFonts w:ascii="Arial" w:eastAsia="Times New Roman" w:hAnsi="Arial" w:cs="Arial"/>
          <w:bCs/>
          <w:szCs w:val="24"/>
          <w:lang w:eastAsia="pt-BR"/>
        </w:rPr>
        <w:t>de 2021.</w:t>
      </w:r>
    </w:p>
    <w:p w:rsidR="007F3122" w:rsidRDefault="007F3122" w:rsidP="007F3122">
      <w:pPr>
        <w:autoSpaceDE w:val="0"/>
        <w:autoSpaceDN w:val="0"/>
        <w:spacing w:line="240" w:lineRule="auto"/>
        <w:jc w:val="center"/>
        <w:rPr>
          <w:rFonts w:ascii="Arial" w:eastAsia="Times New Roman" w:hAnsi="Arial" w:cs="Arial"/>
          <w:bCs/>
          <w:szCs w:val="24"/>
          <w:lang w:eastAsia="pt-BR"/>
        </w:rPr>
      </w:pPr>
    </w:p>
    <w:p w:rsidR="00AA35D2" w:rsidRPr="007F3122" w:rsidRDefault="00AA35D2" w:rsidP="007F3122">
      <w:pPr>
        <w:autoSpaceDE w:val="0"/>
        <w:autoSpaceDN w:val="0"/>
        <w:spacing w:line="240" w:lineRule="auto"/>
        <w:jc w:val="center"/>
        <w:rPr>
          <w:rFonts w:ascii="Arial" w:eastAsia="Times New Roman" w:hAnsi="Arial" w:cs="Arial"/>
          <w:bCs/>
          <w:szCs w:val="24"/>
          <w:lang w:eastAsia="pt-BR"/>
        </w:rPr>
      </w:pPr>
    </w:p>
    <w:p w:rsidR="007F3122" w:rsidRPr="007F3122" w:rsidRDefault="00E84E37" w:rsidP="007F3122">
      <w:pPr>
        <w:autoSpaceDE w:val="0"/>
        <w:autoSpaceDN w:val="0"/>
        <w:spacing w:line="240" w:lineRule="auto"/>
        <w:jc w:val="center"/>
        <w:rPr>
          <w:rFonts w:ascii="Arial" w:eastAsia="Times New Roman" w:hAnsi="Arial" w:cs="Arial"/>
          <w:bCs/>
          <w:szCs w:val="24"/>
          <w:lang w:eastAsia="pt-BR"/>
        </w:rPr>
      </w:pPr>
      <w:r w:rsidRPr="007F3122">
        <w:rPr>
          <w:rFonts w:ascii="Arial" w:eastAsia="Times New Roman" w:hAnsi="Arial" w:cs="Arial"/>
          <w:bCs/>
          <w:szCs w:val="24"/>
          <w:lang w:eastAsia="pt-BR"/>
        </w:rPr>
        <w:t>_____________________________</w:t>
      </w:r>
    </w:p>
    <w:p w:rsidR="007F3122" w:rsidRPr="007F3122" w:rsidRDefault="00E84E37" w:rsidP="007F3122">
      <w:pPr>
        <w:autoSpaceDE w:val="0"/>
        <w:autoSpaceDN w:val="0"/>
        <w:spacing w:line="240" w:lineRule="auto"/>
        <w:jc w:val="center"/>
        <w:rPr>
          <w:rFonts w:ascii="Arial" w:eastAsia="Times New Roman" w:hAnsi="Arial" w:cs="Arial"/>
          <w:b/>
          <w:bCs/>
          <w:szCs w:val="24"/>
          <w:lang w:eastAsia="pt-BR"/>
        </w:rPr>
      </w:pPr>
      <w:r w:rsidRPr="007F3122">
        <w:rPr>
          <w:rFonts w:ascii="Arial" w:eastAsia="Times New Roman" w:hAnsi="Arial" w:cs="Arial"/>
          <w:b/>
          <w:bCs/>
          <w:szCs w:val="24"/>
          <w:lang w:eastAsia="pt-BR"/>
        </w:rPr>
        <w:t>Hugo Adorno</w:t>
      </w:r>
    </w:p>
    <w:p w:rsidR="007F3122" w:rsidRPr="007F3122" w:rsidRDefault="00E84E37" w:rsidP="007F3122">
      <w:pPr>
        <w:autoSpaceDE w:val="0"/>
        <w:autoSpaceDN w:val="0"/>
        <w:spacing w:line="240" w:lineRule="auto"/>
        <w:jc w:val="center"/>
        <w:rPr>
          <w:rFonts w:ascii="Arial" w:eastAsia="Times New Roman" w:hAnsi="Arial" w:cs="Arial"/>
          <w:bCs/>
          <w:szCs w:val="24"/>
          <w:lang w:eastAsia="pt-BR"/>
        </w:rPr>
      </w:pPr>
      <w:r w:rsidRPr="007F3122">
        <w:rPr>
          <w:rFonts w:ascii="Arial" w:eastAsia="Times New Roman" w:hAnsi="Arial" w:cs="Arial"/>
          <w:b/>
          <w:bCs/>
          <w:szCs w:val="24"/>
          <w:lang w:eastAsia="pt-BR"/>
        </w:rPr>
        <w:t>Presidente da CJLR</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E84E37" w:rsidP="007F3122">
      <w:pPr>
        <w:autoSpaceDE w:val="0"/>
        <w:autoSpaceDN w:val="0"/>
        <w:spacing w:line="240" w:lineRule="auto"/>
        <w:jc w:val="center"/>
        <w:rPr>
          <w:rFonts w:ascii="Arial" w:eastAsia="Times New Roman" w:hAnsi="Arial" w:cs="Arial"/>
          <w:bCs/>
          <w:szCs w:val="24"/>
          <w:lang w:eastAsia="pt-BR"/>
        </w:rPr>
      </w:pPr>
      <w:r w:rsidRPr="007F3122">
        <w:rPr>
          <w:rFonts w:ascii="Arial" w:eastAsia="Times New Roman" w:hAnsi="Arial" w:cs="Arial"/>
          <w:bCs/>
          <w:szCs w:val="24"/>
          <w:lang w:eastAsia="pt-BR"/>
        </w:rPr>
        <w:t>____________________________              ____________________________</w:t>
      </w:r>
    </w:p>
    <w:p w:rsidR="007F3122" w:rsidRPr="007F3122" w:rsidRDefault="00E84E37" w:rsidP="007F3122">
      <w:pPr>
        <w:autoSpaceDE w:val="0"/>
        <w:autoSpaceDN w:val="0"/>
        <w:spacing w:line="240" w:lineRule="auto"/>
        <w:jc w:val="both"/>
        <w:rPr>
          <w:rFonts w:ascii="Arial" w:eastAsia="Times New Roman" w:hAnsi="Arial" w:cs="Arial"/>
          <w:b/>
          <w:bCs/>
          <w:szCs w:val="24"/>
          <w:lang w:eastAsia="pt-BR"/>
        </w:rPr>
      </w:pPr>
      <w:r w:rsidRPr="007F3122">
        <w:rPr>
          <w:rFonts w:ascii="Arial" w:eastAsia="Times New Roman" w:hAnsi="Arial" w:cs="Arial"/>
          <w:b/>
          <w:bCs/>
          <w:szCs w:val="24"/>
          <w:lang w:eastAsia="pt-BR"/>
        </w:rPr>
        <w:t xml:space="preserve">           </w:t>
      </w:r>
      <w:r>
        <w:rPr>
          <w:rFonts w:ascii="Arial" w:eastAsia="Times New Roman" w:hAnsi="Arial" w:cs="Arial"/>
          <w:b/>
          <w:bCs/>
          <w:szCs w:val="24"/>
          <w:lang w:eastAsia="pt-BR"/>
        </w:rPr>
        <w:t xml:space="preserve"> </w:t>
      </w:r>
      <w:r w:rsidRPr="007F3122">
        <w:rPr>
          <w:rFonts w:ascii="Arial" w:eastAsia="Times New Roman" w:hAnsi="Arial" w:cs="Arial"/>
          <w:b/>
          <w:bCs/>
          <w:szCs w:val="24"/>
          <w:lang w:eastAsia="pt-BR"/>
        </w:rPr>
        <w:t xml:space="preserve"> Guilherme Bianco </w:t>
      </w:r>
      <w:r w:rsidRPr="007F3122">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7F3122">
        <w:rPr>
          <w:rFonts w:ascii="Arial" w:eastAsia="Times New Roman" w:hAnsi="Arial" w:cs="Arial"/>
          <w:b/>
          <w:bCs/>
          <w:szCs w:val="24"/>
          <w:lang w:eastAsia="pt-BR"/>
        </w:rPr>
        <w:t>Thainara Faria</w:t>
      </w:r>
    </w:p>
    <w:p w:rsidR="00A939CC" w:rsidRPr="00A939CC" w:rsidRDefault="00A939CC" w:rsidP="00AE437A">
      <w:pPr>
        <w:autoSpaceDE w:val="0"/>
        <w:autoSpaceDN w:val="0"/>
        <w:spacing w:line="240" w:lineRule="auto"/>
        <w:ind w:firstLine="708"/>
        <w:jc w:val="center"/>
        <w:rPr>
          <w:rFonts w:ascii="Arial" w:eastAsia="Times New Roman" w:hAnsi="Arial" w:cs="Arial"/>
          <w:b/>
          <w:bCs/>
          <w:szCs w:val="24"/>
          <w:lang w:eastAsia="pt-BR"/>
        </w:rPr>
      </w:pPr>
    </w:p>
    <w:sectPr w:rsidR="00A939CC"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E41" w:rsidRDefault="00212E41">
      <w:pPr>
        <w:spacing w:line="240" w:lineRule="auto"/>
      </w:pPr>
      <w:r>
        <w:separator/>
      </w:r>
    </w:p>
  </w:endnote>
  <w:endnote w:type="continuationSeparator" w:id="0">
    <w:p w:rsidR="00212E41" w:rsidRDefault="00212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E84E37"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E84E37"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E84E37"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E84E37">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043FD0">
              <w:rPr>
                <w:rFonts w:asciiTheme="majorHAnsi" w:hAnsiTheme="majorHAnsi"/>
                <w:b/>
                <w:bCs/>
                <w:noProof/>
              </w:rPr>
              <w:t>4</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043FD0">
              <w:rPr>
                <w:rFonts w:asciiTheme="majorHAnsi" w:hAnsiTheme="majorHAnsi"/>
                <w:b/>
                <w:bCs/>
                <w:noProof/>
              </w:rPr>
              <w:t>4</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E41" w:rsidRDefault="00212E41">
      <w:pPr>
        <w:spacing w:line="240" w:lineRule="auto"/>
      </w:pPr>
      <w:r>
        <w:separator/>
      </w:r>
    </w:p>
  </w:footnote>
  <w:footnote w:type="continuationSeparator" w:id="0">
    <w:p w:rsidR="00212E41" w:rsidRDefault="00212E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E84E37"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26038"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E84E37"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A064BA5E">
      <w:start w:val="1"/>
      <w:numFmt w:val="lowerLetter"/>
      <w:lvlText w:val="%1)"/>
      <w:lvlJc w:val="left"/>
      <w:pPr>
        <w:ind w:left="720" w:hanging="360"/>
      </w:pPr>
      <w:rPr>
        <w:rFonts w:hint="default"/>
      </w:rPr>
    </w:lvl>
    <w:lvl w:ilvl="1" w:tplc="3FB427E4" w:tentative="1">
      <w:start w:val="1"/>
      <w:numFmt w:val="lowerLetter"/>
      <w:lvlText w:val="%2."/>
      <w:lvlJc w:val="left"/>
      <w:pPr>
        <w:ind w:left="1440" w:hanging="360"/>
      </w:pPr>
    </w:lvl>
    <w:lvl w:ilvl="2" w:tplc="9A925854" w:tentative="1">
      <w:start w:val="1"/>
      <w:numFmt w:val="lowerRoman"/>
      <w:lvlText w:val="%3."/>
      <w:lvlJc w:val="right"/>
      <w:pPr>
        <w:ind w:left="2160" w:hanging="180"/>
      </w:pPr>
    </w:lvl>
    <w:lvl w:ilvl="3" w:tplc="200018BC" w:tentative="1">
      <w:start w:val="1"/>
      <w:numFmt w:val="decimal"/>
      <w:lvlText w:val="%4."/>
      <w:lvlJc w:val="left"/>
      <w:pPr>
        <w:ind w:left="2880" w:hanging="360"/>
      </w:pPr>
    </w:lvl>
    <w:lvl w:ilvl="4" w:tplc="55982C5A" w:tentative="1">
      <w:start w:val="1"/>
      <w:numFmt w:val="lowerLetter"/>
      <w:lvlText w:val="%5."/>
      <w:lvlJc w:val="left"/>
      <w:pPr>
        <w:ind w:left="3600" w:hanging="360"/>
      </w:pPr>
    </w:lvl>
    <w:lvl w:ilvl="5" w:tplc="CADE3BE2" w:tentative="1">
      <w:start w:val="1"/>
      <w:numFmt w:val="lowerRoman"/>
      <w:lvlText w:val="%6."/>
      <w:lvlJc w:val="right"/>
      <w:pPr>
        <w:ind w:left="4320" w:hanging="180"/>
      </w:pPr>
    </w:lvl>
    <w:lvl w:ilvl="6" w:tplc="D7520FEE" w:tentative="1">
      <w:start w:val="1"/>
      <w:numFmt w:val="decimal"/>
      <w:lvlText w:val="%7."/>
      <w:lvlJc w:val="left"/>
      <w:pPr>
        <w:ind w:left="5040" w:hanging="360"/>
      </w:pPr>
    </w:lvl>
    <w:lvl w:ilvl="7" w:tplc="586EC646" w:tentative="1">
      <w:start w:val="1"/>
      <w:numFmt w:val="lowerLetter"/>
      <w:lvlText w:val="%8."/>
      <w:lvlJc w:val="left"/>
      <w:pPr>
        <w:ind w:left="5760" w:hanging="360"/>
      </w:pPr>
    </w:lvl>
    <w:lvl w:ilvl="8" w:tplc="FC4A2F72"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25020BA0">
      <w:start w:val="1"/>
      <w:numFmt w:val="lowerLetter"/>
      <w:lvlText w:val="%1)"/>
      <w:lvlJc w:val="left"/>
      <w:pPr>
        <w:ind w:left="410" w:hanging="360"/>
      </w:pPr>
      <w:rPr>
        <w:rFonts w:hint="default"/>
      </w:rPr>
    </w:lvl>
    <w:lvl w:ilvl="1" w:tplc="6502523A" w:tentative="1">
      <w:start w:val="1"/>
      <w:numFmt w:val="lowerLetter"/>
      <w:lvlText w:val="%2."/>
      <w:lvlJc w:val="left"/>
      <w:pPr>
        <w:ind w:left="1130" w:hanging="360"/>
      </w:pPr>
    </w:lvl>
    <w:lvl w:ilvl="2" w:tplc="E51E6A10" w:tentative="1">
      <w:start w:val="1"/>
      <w:numFmt w:val="lowerRoman"/>
      <w:lvlText w:val="%3."/>
      <w:lvlJc w:val="right"/>
      <w:pPr>
        <w:ind w:left="1850" w:hanging="180"/>
      </w:pPr>
    </w:lvl>
    <w:lvl w:ilvl="3" w:tplc="5762CB20" w:tentative="1">
      <w:start w:val="1"/>
      <w:numFmt w:val="decimal"/>
      <w:lvlText w:val="%4."/>
      <w:lvlJc w:val="left"/>
      <w:pPr>
        <w:ind w:left="2570" w:hanging="360"/>
      </w:pPr>
    </w:lvl>
    <w:lvl w:ilvl="4" w:tplc="351CE5BE" w:tentative="1">
      <w:start w:val="1"/>
      <w:numFmt w:val="lowerLetter"/>
      <w:lvlText w:val="%5."/>
      <w:lvlJc w:val="left"/>
      <w:pPr>
        <w:ind w:left="3290" w:hanging="360"/>
      </w:pPr>
    </w:lvl>
    <w:lvl w:ilvl="5" w:tplc="6E120BFA" w:tentative="1">
      <w:start w:val="1"/>
      <w:numFmt w:val="lowerRoman"/>
      <w:lvlText w:val="%6."/>
      <w:lvlJc w:val="right"/>
      <w:pPr>
        <w:ind w:left="4010" w:hanging="180"/>
      </w:pPr>
    </w:lvl>
    <w:lvl w:ilvl="6" w:tplc="D11461BE" w:tentative="1">
      <w:start w:val="1"/>
      <w:numFmt w:val="decimal"/>
      <w:lvlText w:val="%7."/>
      <w:lvlJc w:val="left"/>
      <w:pPr>
        <w:ind w:left="4730" w:hanging="360"/>
      </w:pPr>
    </w:lvl>
    <w:lvl w:ilvl="7" w:tplc="3730813E" w:tentative="1">
      <w:start w:val="1"/>
      <w:numFmt w:val="lowerLetter"/>
      <w:lvlText w:val="%8."/>
      <w:lvlJc w:val="left"/>
      <w:pPr>
        <w:ind w:left="5450" w:hanging="360"/>
      </w:pPr>
    </w:lvl>
    <w:lvl w:ilvl="8" w:tplc="A5485800"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FE500314">
      <w:start w:val="1"/>
      <w:numFmt w:val="decimal"/>
      <w:lvlText w:val="%1."/>
      <w:lvlJc w:val="left"/>
      <w:pPr>
        <w:ind w:left="770" w:hanging="360"/>
      </w:pPr>
    </w:lvl>
    <w:lvl w:ilvl="1" w:tplc="7494AB66" w:tentative="1">
      <w:start w:val="1"/>
      <w:numFmt w:val="lowerLetter"/>
      <w:lvlText w:val="%2."/>
      <w:lvlJc w:val="left"/>
      <w:pPr>
        <w:ind w:left="1490" w:hanging="360"/>
      </w:pPr>
    </w:lvl>
    <w:lvl w:ilvl="2" w:tplc="06ECDC9E" w:tentative="1">
      <w:start w:val="1"/>
      <w:numFmt w:val="lowerRoman"/>
      <w:lvlText w:val="%3."/>
      <w:lvlJc w:val="right"/>
      <w:pPr>
        <w:ind w:left="2210" w:hanging="180"/>
      </w:pPr>
    </w:lvl>
    <w:lvl w:ilvl="3" w:tplc="3252DDE4" w:tentative="1">
      <w:start w:val="1"/>
      <w:numFmt w:val="decimal"/>
      <w:lvlText w:val="%4."/>
      <w:lvlJc w:val="left"/>
      <w:pPr>
        <w:ind w:left="2930" w:hanging="360"/>
      </w:pPr>
    </w:lvl>
    <w:lvl w:ilvl="4" w:tplc="F31AC1D2" w:tentative="1">
      <w:start w:val="1"/>
      <w:numFmt w:val="lowerLetter"/>
      <w:lvlText w:val="%5."/>
      <w:lvlJc w:val="left"/>
      <w:pPr>
        <w:ind w:left="3650" w:hanging="360"/>
      </w:pPr>
    </w:lvl>
    <w:lvl w:ilvl="5" w:tplc="1234B1E8" w:tentative="1">
      <w:start w:val="1"/>
      <w:numFmt w:val="lowerRoman"/>
      <w:lvlText w:val="%6."/>
      <w:lvlJc w:val="right"/>
      <w:pPr>
        <w:ind w:left="4370" w:hanging="180"/>
      </w:pPr>
    </w:lvl>
    <w:lvl w:ilvl="6" w:tplc="85F80934" w:tentative="1">
      <w:start w:val="1"/>
      <w:numFmt w:val="decimal"/>
      <w:lvlText w:val="%7."/>
      <w:lvlJc w:val="left"/>
      <w:pPr>
        <w:ind w:left="5090" w:hanging="360"/>
      </w:pPr>
    </w:lvl>
    <w:lvl w:ilvl="7" w:tplc="8DAEF84A" w:tentative="1">
      <w:start w:val="1"/>
      <w:numFmt w:val="lowerLetter"/>
      <w:lvlText w:val="%8."/>
      <w:lvlJc w:val="left"/>
      <w:pPr>
        <w:ind w:left="5810" w:hanging="360"/>
      </w:pPr>
    </w:lvl>
    <w:lvl w:ilvl="8" w:tplc="C30635CC"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3FD0"/>
    <w:rsid w:val="000463D4"/>
    <w:rsid w:val="000477D9"/>
    <w:rsid w:val="00055EFF"/>
    <w:rsid w:val="000745D9"/>
    <w:rsid w:val="000805FE"/>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4F41"/>
    <w:rsid w:val="002100B5"/>
    <w:rsid w:val="0021066F"/>
    <w:rsid w:val="00212E41"/>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D5DF3"/>
    <w:rsid w:val="003E2A88"/>
    <w:rsid w:val="003E53DF"/>
    <w:rsid w:val="003E7155"/>
    <w:rsid w:val="003F57F3"/>
    <w:rsid w:val="00403D90"/>
    <w:rsid w:val="00405402"/>
    <w:rsid w:val="004061D9"/>
    <w:rsid w:val="004107A7"/>
    <w:rsid w:val="00437607"/>
    <w:rsid w:val="00452481"/>
    <w:rsid w:val="00457314"/>
    <w:rsid w:val="00467A4B"/>
    <w:rsid w:val="00474AF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4F6D8E"/>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848DA"/>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7F3122"/>
    <w:rsid w:val="0080024E"/>
    <w:rsid w:val="00801A34"/>
    <w:rsid w:val="00807F5B"/>
    <w:rsid w:val="00814615"/>
    <w:rsid w:val="00814DC5"/>
    <w:rsid w:val="0082212A"/>
    <w:rsid w:val="00852AF6"/>
    <w:rsid w:val="00857BAF"/>
    <w:rsid w:val="0086780D"/>
    <w:rsid w:val="00870902"/>
    <w:rsid w:val="00871077"/>
    <w:rsid w:val="008757C1"/>
    <w:rsid w:val="00877BAE"/>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3629E"/>
    <w:rsid w:val="00A51202"/>
    <w:rsid w:val="00A540E4"/>
    <w:rsid w:val="00A6784E"/>
    <w:rsid w:val="00A75CB6"/>
    <w:rsid w:val="00A75EC2"/>
    <w:rsid w:val="00A828F4"/>
    <w:rsid w:val="00A86C7B"/>
    <w:rsid w:val="00A939CC"/>
    <w:rsid w:val="00AA066E"/>
    <w:rsid w:val="00AA35D2"/>
    <w:rsid w:val="00AA6B90"/>
    <w:rsid w:val="00AB1F68"/>
    <w:rsid w:val="00AB6B10"/>
    <w:rsid w:val="00AC217A"/>
    <w:rsid w:val="00AC4FB5"/>
    <w:rsid w:val="00AD4C29"/>
    <w:rsid w:val="00AE2A44"/>
    <w:rsid w:val="00AE437A"/>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07535"/>
    <w:rsid w:val="00C1199D"/>
    <w:rsid w:val="00C20CBF"/>
    <w:rsid w:val="00C2184B"/>
    <w:rsid w:val="00C34361"/>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17D"/>
    <w:rsid w:val="00DF1CCD"/>
    <w:rsid w:val="00E00389"/>
    <w:rsid w:val="00E00945"/>
    <w:rsid w:val="00E07B28"/>
    <w:rsid w:val="00E15CAA"/>
    <w:rsid w:val="00E30C44"/>
    <w:rsid w:val="00E32038"/>
    <w:rsid w:val="00E36C3D"/>
    <w:rsid w:val="00E40ADB"/>
    <w:rsid w:val="00E420A2"/>
    <w:rsid w:val="00E524C3"/>
    <w:rsid w:val="00E525B4"/>
    <w:rsid w:val="00E55328"/>
    <w:rsid w:val="00E57070"/>
    <w:rsid w:val="00E64A3E"/>
    <w:rsid w:val="00E7174C"/>
    <w:rsid w:val="00E744E6"/>
    <w:rsid w:val="00E84E37"/>
    <w:rsid w:val="00E879BE"/>
    <w:rsid w:val="00E90A5C"/>
    <w:rsid w:val="00E91CB6"/>
    <w:rsid w:val="00E96629"/>
    <w:rsid w:val="00EA252D"/>
    <w:rsid w:val="00EA405D"/>
    <w:rsid w:val="00EB0DBA"/>
    <w:rsid w:val="00EB405C"/>
    <w:rsid w:val="00ED2CBE"/>
    <w:rsid w:val="00ED45DD"/>
    <w:rsid w:val="00ED5E38"/>
    <w:rsid w:val="00EE00AF"/>
    <w:rsid w:val="00EE1BB2"/>
    <w:rsid w:val="00EE2728"/>
    <w:rsid w:val="00EE65D0"/>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883CF-195A-4464-B5B5-5FFAB030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F5DF2-00EB-48FE-9106-B21E016C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1476</Words>
  <Characters>7974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14</cp:revision>
  <cp:lastPrinted>2018-06-08T17:01:00Z</cp:lastPrinted>
  <dcterms:created xsi:type="dcterms:W3CDTF">2019-01-29T17:14:00Z</dcterms:created>
  <dcterms:modified xsi:type="dcterms:W3CDTF">2021-07-12T13:22:00Z</dcterms:modified>
</cp:coreProperties>
</file>