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0F44F3" w:rsidTr="0086780D">
        <w:tc>
          <w:tcPr>
            <w:tcW w:w="2552" w:type="dxa"/>
          </w:tcPr>
          <w:p w:rsidR="006848DA" w:rsidRPr="006848DA" w:rsidRDefault="00640E0C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</w:tcPr>
          <w:p w:rsidR="006848DA" w:rsidRPr="006848DA" w:rsidRDefault="00640E0C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193</w:t>
            </w:r>
          </w:p>
        </w:tc>
        <w:tc>
          <w:tcPr>
            <w:tcW w:w="1797" w:type="dxa"/>
          </w:tcPr>
          <w:p w:rsidR="006848DA" w:rsidRPr="006848DA" w:rsidRDefault="00640E0C" w:rsidP="00F73F94">
            <w:pPr>
              <w:tabs>
                <w:tab w:val="left" w:pos="600"/>
              </w:tabs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</w:t>
            </w:r>
            <w:r w:rsidR="00F73F94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21</w:t>
            </w:r>
          </w:p>
        </w:tc>
      </w:tr>
    </w:tbl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848DA" w:rsidRPr="006848DA" w:rsidRDefault="00640E0C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>Projeto de Resolução nº 17/2021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40E0C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>Processo nº 195/2021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40E0C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Pr="006848DA">
        <w:rPr>
          <w:rFonts w:ascii="Arial" w:eastAsia="Times New Roman" w:hAnsi="Arial" w:cs="Arial"/>
          <w:szCs w:val="24"/>
          <w:lang w:eastAsia="pt-BR"/>
        </w:rPr>
        <w:t>MESA DA CÂMARA MUNICIPAL DE ARARAQUARA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Default="00640E0C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 w:rsidRPr="006848DA">
        <w:rPr>
          <w:rFonts w:ascii="Arial" w:eastAsia="Times New Roman" w:hAnsi="Arial" w:cs="Arial"/>
          <w:szCs w:val="24"/>
          <w:lang w:eastAsia="pt-BR"/>
        </w:rPr>
        <w:t>Autoriza a Câmara Municipal de Araraquara a afiliar-se, mediante convênio, à Associação Brasileira das Escolas do Legislativo e de Contas (ABEL), e dá outras providências</w:t>
      </w:r>
    </w:p>
    <w:p w:rsidR="0077019D" w:rsidRPr="0077019D" w:rsidRDefault="0077019D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77019D" w:rsidRDefault="00640E0C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77019D">
        <w:rPr>
          <w:rFonts w:ascii="Arial" w:eastAsia="Times New Roman" w:hAnsi="Arial" w:cs="Arial"/>
          <w:szCs w:val="24"/>
          <w:lang w:eastAsia="pt-BR"/>
        </w:rPr>
        <w:t>Propositura formalmente em ordem, atendendo</w:t>
      </w:r>
      <w:r w:rsidR="0077019D">
        <w:rPr>
          <w:rFonts w:ascii="Arial" w:eastAsia="Times New Roman" w:hAnsi="Arial" w:cs="Arial"/>
          <w:szCs w:val="24"/>
          <w:lang w:eastAsia="pt-BR"/>
        </w:rPr>
        <w:t xml:space="preserve"> às normas regimentais vigentes e de acordo com o arcabouço jurídico em vigor. </w:t>
      </w:r>
    </w:p>
    <w:p w:rsidR="006848DA" w:rsidRPr="0077019D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77019D" w:rsidRPr="0077019D" w:rsidRDefault="0077019D" w:rsidP="0077019D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77019D">
        <w:rPr>
          <w:rFonts w:ascii="Arial" w:eastAsia="Times New Roman" w:hAnsi="Arial" w:cs="Arial"/>
          <w:szCs w:val="24"/>
          <w:lang w:eastAsia="pt-BR"/>
        </w:rPr>
        <w:tab/>
      </w:r>
      <w:r w:rsidRPr="0077019D">
        <w:rPr>
          <w:rFonts w:ascii="Arial" w:eastAsia="Times New Roman" w:hAnsi="Arial" w:cs="Arial"/>
          <w:szCs w:val="24"/>
          <w:lang w:eastAsia="pt-BR"/>
        </w:rPr>
        <w:tab/>
        <w:t xml:space="preserve">Sem maiores delongas, de fato, um projeto de resolução, de autoria da Mesa, é a propositura mais adequada legal e constitucionalmente para dispor acerca do tema, nos termos da interpretação sistemática do art. 26 da Lei de Responsabilidade Fiscal (Lei Complementar Federal nº 101, de 4 de maio de 2000) c/c o art. 2º da Constituição Federal. </w:t>
      </w:r>
    </w:p>
    <w:p w:rsidR="0077019D" w:rsidRPr="0077019D" w:rsidRDefault="0077019D" w:rsidP="0077019D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77019D" w:rsidRPr="0077019D" w:rsidRDefault="0077019D" w:rsidP="0077019D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77019D">
        <w:rPr>
          <w:rFonts w:ascii="Arial" w:eastAsia="Times New Roman" w:hAnsi="Arial" w:cs="Arial"/>
          <w:szCs w:val="24"/>
          <w:lang w:eastAsia="pt-BR"/>
        </w:rPr>
        <w:tab/>
      </w:r>
      <w:r w:rsidRPr="0077019D">
        <w:rPr>
          <w:rFonts w:ascii="Arial" w:eastAsia="Times New Roman" w:hAnsi="Arial" w:cs="Arial"/>
          <w:szCs w:val="24"/>
          <w:lang w:eastAsia="pt-BR"/>
        </w:rPr>
        <w:tab/>
        <w:t xml:space="preserve">Noutro prumo, foi disposto que a filiação se dará mediante convênio, isto é, a resolução autoriza a filiação e a celebração de um convênio para tanto, o qual é o instrumento mais vocacionado (tendo em vista a anuidade, a transferência de recursos financeiros) para tal finalidade. </w:t>
      </w:r>
    </w:p>
    <w:p w:rsidR="0077019D" w:rsidRPr="0077019D" w:rsidRDefault="0077019D" w:rsidP="0077019D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77019D" w:rsidRPr="0077019D" w:rsidRDefault="0077019D" w:rsidP="0077019D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77019D">
        <w:rPr>
          <w:rFonts w:ascii="Arial" w:eastAsia="Times New Roman" w:hAnsi="Arial" w:cs="Arial"/>
          <w:szCs w:val="24"/>
          <w:lang w:eastAsia="pt-BR"/>
        </w:rPr>
        <w:tab/>
      </w:r>
      <w:r w:rsidRPr="0077019D">
        <w:rPr>
          <w:rFonts w:ascii="Arial" w:eastAsia="Times New Roman" w:hAnsi="Arial" w:cs="Arial"/>
          <w:szCs w:val="24"/>
          <w:lang w:eastAsia="pt-BR"/>
        </w:rPr>
        <w:tab/>
        <w:t>O disposto no parágrafo único do projeto vai ao encontro do entendimento de diversos Tribunais de Contas e da própria razão de existir do mencionado convênio.</w:t>
      </w:r>
    </w:p>
    <w:p w:rsidR="0077019D" w:rsidRPr="0077019D" w:rsidRDefault="0077019D" w:rsidP="0077019D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77019D" w:rsidRPr="0077019D" w:rsidRDefault="0077019D" w:rsidP="0077019D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77019D">
        <w:rPr>
          <w:rFonts w:ascii="Arial" w:eastAsia="Times New Roman" w:hAnsi="Arial" w:cs="Arial"/>
          <w:szCs w:val="24"/>
          <w:lang w:eastAsia="pt-BR"/>
        </w:rPr>
        <w:tab/>
      </w:r>
      <w:r w:rsidRPr="0077019D">
        <w:rPr>
          <w:rFonts w:ascii="Arial" w:eastAsia="Times New Roman" w:hAnsi="Arial" w:cs="Arial"/>
          <w:szCs w:val="24"/>
          <w:lang w:eastAsia="pt-BR"/>
        </w:rPr>
        <w:tab/>
        <w:t xml:space="preserve">O art. 2º autoriza o pagamento de anuidade, mas a condiciona à apresentação de alguns documentos. Essa condição vai ao encontro, também, do interesse público e, aqui, consiste em um “instrumento” que tem o condão de promover a transparência e de permitir a fiscalização do repasse e aplicação do dinheiro público (anuidade). </w:t>
      </w:r>
    </w:p>
    <w:p w:rsidR="0077019D" w:rsidRPr="0077019D" w:rsidRDefault="0077019D" w:rsidP="0077019D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77019D" w:rsidRPr="0077019D" w:rsidRDefault="0077019D" w:rsidP="0077019D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77019D">
        <w:rPr>
          <w:rFonts w:ascii="Arial" w:eastAsia="Times New Roman" w:hAnsi="Arial" w:cs="Arial"/>
          <w:szCs w:val="24"/>
          <w:lang w:eastAsia="pt-BR"/>
        </w:rPr>
        <w:tab/>
      </w:r>
      <w:r w:rsidRPr="0077019D">
        <w:rPr>
          <w:rFonts w:ascii="Arial" w:eastAsia="Times New Roman" w:hAnsi="Arial" w:cs="Arial"/>
          <w:szCs w:val="24"/>
          <w:lang w:eastAsia="pt-BR"/>
        </w:rPr>
        <w:tab/>
        <w:t xml:space="preserve">Por fim, o art. 3º traduz-se em uma cláusula orçamentária, na qual se enfatizou que as despesas devem estar “previamente previstas nos instrumentos orçamentários” (PPA, LDO, LOA). </w:t>
      </w:r>
    </w:p>
    <w:p w:rsidR="006848DA" w:rsidRPr="0077019D" w:rsidRDefault="006848DA" w:rsidP="0077019D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77019D" w:rsidRPr="0077019D" w:rsidRDefault="0077019D" w:rsidP="0077019D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77019D">
        <w:rPr>
          <w:rFonts w:ascii="Arial" w:eastAsia="Times New Roman" w:hAnsi="Arial" w:cs="Arial"/>
          <w:szCs w:val="24"/>
          <w:lang w:eastAsia="pt-BR"/>
        </w:rPr>
        <w:tab/>
      </w:r>
      <w:r w:rsidRPr="0077019D">
        <w:rPr>
          <w:rFonts w:ascii="Arial" w:eastAsia="Times New Roman" w:hAnsi="Arial" w:cs="Arial"/>
          <w:szCs w:val="24"/>
          <w:lang w:eastAsia="pt-BR"/>
        </w:rPr>
        <w:tab/>
        <w:t xml:space="preserve">Pela legalidade. </w:t>
      </w:r>
    </w:p>
    <w:p w:rsidR="006848DA" w:rsidRPr="0077019D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77019D" w:rsidRDefault="00640E0C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77019D">
        <w:rPr>
          <w:rFonts w:ascii="Arial" w:eastAsia="Times New Roman" w:hAnsi="Arial" w:cs="Arial"/>
          <w:szCs w:val="24"/>
          <w:lang w:eastAsia="pt-BR"/>
        </w:rPr>
        <w:tab/>
      </w:r>
      <w:r w:rsidRPr="0077019D">
        <w:rPr>
          <w:rFonts w:ascii="Arial" w:eastAsia="Times New Roman" w:hAnsi="Arial" w:cs="Arial"/>
          <w:szCs w:val="24"/>
          <w:lang w:eastAsia="pt-BR"/>
        </w:rPr>
        <w:tab/>
        <w:t xml:space="preserve">À Comissão de Tributação, Finanças e Orçamento para manifestação. </w:t>
      </w:r>
    </w:p>
    <w:p w:rsidR="006848DA" w:rsidRPr="0077019D" w:rsidRDefault="00640E0C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77019D"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77019D" w:rsidRDefault="00640E0C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77019D">
        <w:rPr>
          <w:rFonts w:ascii="Arial" w:eastAsia="Times New Roman" w:hAnsi="Arial" w:cs="Arial"/>
          <w:szCs w:val="24"/>
          <w:lang w:eastAsia="pt-BR"/>
        </w:rPr>
        <w:tab/>
      </w:r>
      <w:r w:rsidRPr="0077019D">
        <w:rPr>
          <w:rFonts w:ascii="Arial" w:eastAsia="Times New Roman" w:hAnsi="Arial" w:cs="Arial"/>
          <w:szCs w:val="24"/>
          <w:lang w:eastAsia="pt-BR"/>
        </w:rPr>
        <w:tab/>
      </w:r>
      <w:r w:rsidR="0077019D" w:rsidRPr="0077019D">
        <w:rPr>
          <w:rFonts w:ascii="Arial" w:eastAsia="Times New Roman" w:hAnsi="Arial" w:cs="Arial"/>
          <w:szCs w:val="24"/>
          <w:lang w:eastAsia="pt-BR"/>
        </w:rPr>
        <w:t xml:space="preserve">Quanto ao mérito, o Plenário – soberano – decidirá. </w:t>
      </w:r>
    </w:p>
    <w:p w:rsidR="006848DA" w:rsidRPr="0077019D" w:rsidRDefault="00640E0C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77019D">
        <w:rPr>
          <w:rFonts w:ascii="Arial" w:eastAsia="Times New Roman" w:hAnsi="Arial" w:cs="Arial"/>
          <w:szCs w:val="24"/>
          <w:lang w:eastAsia="pt-BR"/>
        </w:rPr>
        <w:tab/>
      </w:r>
    </w:p>
    <w:p w:rsidR="006848DA" w:rsidRPr="0077019D" w:rsidRDefault="00640E0C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77019D">
        <w:rPr>
          <w:rFonts w:ascii="Arial" w:eastAsia="Times New Roman" w:hAnsi="Arial" w:cs="Arial"/>
          <w:szCs w:val="24"/>
          <w:lang w:eastAsia="pt-BR"/>
        </w:rPr>
        <w:lastRenderedPageBreak/>
        <w:tab/>
      </w:r>
      <w:r w:rsidRPr="0077019D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7F3122" w:rsidRPr="007F3122" w:rsidRDefault="00640E0C" w:rsidP="007F3122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 </w:t>
      </w:r>
      <w:r w:rsidRPr="007F3122">
        <w:rPr>
          <w:rFonts w:ascii="Arial" w:eastAsia="Times New Roman" w:hAnsi="Arial" w:cs="Arial"/>
          <w:bCs/>
          <w:szCs w:val="24"/>
          <w:lang w:eastAsia="pt-BR"/>
        </w:rPr>
        <w:t>Sa</w:t>
      </w:r>
      <w:r w:rsidR="00BC3D62">
        <w:rPr>
          <w:rFonts w:ascii="Arial" w:eastAsia="Times New Roman" w:hAnsi="Arial" w:cs="Arial"/>
          <w:bCs/>
          <w:szCs w:val="24"/>
          <w:lang w:eastAsia="pt-BR"/>
        </w:rPr>
        <w:t>la de reuniões das comissões, 12</w:t>
      </w:r>
      <w:bookmarkStart w:id="0" w:name="_GoBack"/>
      <w:bookmarkEnd w:id="0"/>
      <w:r w:rsidRPr="007F3122">
        <w:rPr>
          <w:rFonts w:ascii="Arial" w:eastAsia="Times New Roman" w:hAnsi="Arial" w:cs="Arial"/>
          <w:bCs/>
          <w:szCs w:val="24"/>
          <w:lang w:eastAsia="pt-BR"/>
        </w:rPr>
        <w:t xml:space="preserve"> de </w:t>
      </w:r>
      <w:r w:rsidR="000469B0">
        <w:rPr>
          <w:rFonts w:ascii="Arial" w:eastAsia="Times New Roman" w:hAnsi="Arial" w:cs="Arial"/>
          <w:bCs/>
          <w:szCs w:val="24"/>
          <w:lang w:eastAsia="pt-BR"/>
        </w:rPr>
        <w:t xml:space="preserve">julho </w:t>
      </w:r>
      <w:r w:rsidRPr="007F3122">
        <w:rPr>
          <w:rFonts w:ascii="Arial" w:eastAsia="Times New Roman" w:hAnsi="Arial" w:cs="Arial"/>
          <w:bCs/>
          <w:szCs w:val="24"/>
          <w:lang w:eastAsia="pt-BR"/>
        </w:rPr>
        <w:t>de 2021.</w:t>
      </w:r>
    </w:p>
    <w:p w:rsidR="007F3122" w:rsidRPr="007F3122" w:rsidRDefault="007F3122" w:rsidP="007F3122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7F3122" w:rsidRPr="007F3122" w:rsidRDefault="007F3122" w:rsidP="007F3122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7F3122" w:rsidRPr="007F3122" w:rsidRDefault="007F3122" w:rsidP="007F3122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7F3122" w:rsidRPr="007F3122" w:rsidRDefault="00640E0C" w:rsidP="007F3122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7F3122">
        <w:rPr>
          <w:rFonts w:ascii="Arial" w:eastAsia="Times New Roman" w:hAnsi="Arial" w:cs="Arial"/>
          <w:bCs/>
          <w:szCs w:val="24"/>
          <w:lang w:eastAsia="pt-BR"/>
        </w:rPr>
        <w:t>_____________________________</w:t>
      </w:r>
    </w:p>
    <w:p w:rsidR="007F3122" w:rsidRPr="007F3122" w:rsidRDefault="00640E0C" w:rsidP="007F3122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7F3122">
        <w:rPr>
          <w:rFonts w:ascii="Arial" w:eastAsia="Times New Roman" w:hAnsi="Arial" w:cs="Arial"/>
          <w:b/>
          <w:bCs/>
          <w:szCs w:val="24"/>
          <w:lang w:eastAsia="pt-BR"/>
        </w:rPr>
        <w:t>Hugo Adorno</w:t>
      </w:r>
    </w:p>
    <w:p w:rsidR="007F3122" w:rsidRPr="007F3122" w:rsidRDefault="00640E0C" w:rsidP="007F3122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7F3122">
        <w:rPr>
          <w:rFonts w:ascii="Arial" w:eastAsia="Times New Roman" w:hAnsi="Arial" w:cs="Arial"/>
          <w:b/>
          <w:bCs/>
          <w:szCs w:val="24"/>
          <w:lang w:eastAsia="pt-BR"/>
        </w:rPr>
        <w:t>Presidente da CJLR</w:t>
      </w:r>
    </w:p>
    <w:p w:rsidR="007F3122" w:rsidRPr="007F3122" w:rsidRDefault="007F3122" w:rsidP="007F3122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7F3122" w:rsidRPr="007F3122" w:rsidRDefault="007F3122" w:rsidP="007F3122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7F3122" w:rsidRPr="007F3122" w:rsidRDefault="007F3122" w:rsidP="007F3122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7F3122" w:rsidRPr="007F3122" w:rsidRDefault="00640E0C" w:rsidP="007F3122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7F3122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7F3122" w:rsidRPr="007F3122" w:rsidRDefault="00640E0C" w:rsidP="007F3122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 w:rsidRPr="007F3122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Pr="007F3122">
        <w:rPr>
          <w:rFonts w:ascii="Arial" w:eastAsia="Times New Roman" w:hAnsi="Arial" w:cs="Arial"/>
          <w:b/>
          <w:bCs/>
          <w:szCs w:val="24"/>
          <w:lang w:eastAsia="pt-BR"/>
        </w:rPr>
        <w:t xml:space="preserve"> Guilherme Bianco </w:t>
      </w:r>
      <w:r w:rsidRPr="007F3122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              </w:t>
      </w:r>
      <w:r w:rsidRPr="007F3122">
        <w:rPr>
          <w:rFonts w:ascii="Arial" w:eastAsia="Times New Roman" w:hAnsi="Arial" w:cs="Arial"/>
          <w:b/>
          <w:bCs/>
          <w:szCs w:val="24"/>
          <w:lang w:eastAsia="pt-BR"/>
        </w:rPr>
        <w:t>Thainara Faria</w:t>
      </w:r>
    </w:p>
    <w:p w:rsidR="007F3122" w:rsidRPr="007F3122" w:rsidRDefault="007F3122" w:rsidP="007F3122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7F3122" w:rsidRPr="007F3122" w:rsidRDefault="007F3122" w:rsidP="007F3122">
      <w:pPr>
        <w:rPr>
          <w:rFonts w:ascii="Cambria" w:eastAsia="Calibri" w:hAnsi="Cambria" w:cs="Times New Roman"/>
          <w:b/>
          <w:szCs w:val="24"/>
        </w:rPr>
      </w:pPr>
    </w:p>
    <w:p w:rsidR="00A939CC" w:rsidRPr="00A939CC" w:rsidRDefault="00A939CC" w:rsidP="0077019D">
      <w:pPr>
        <w:autoSpaceDE w:val="0"/>
        <w:autoSpaceDN w:val="0"/>
        <w:spacing w:line="240" w:lineRule="auto"/>
        <w:ind w:firstLine="708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sectPr w:rsidR="00A939CC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0021" w:rsidRDefault="00E10021">
      <w:pPr>
        <w:spacing w:line="240" w:lineRule="auto"/>
      </w:pPr>
      <w:r>
        <w:separator/>
      </w:r>
    </w:p>
  </w:endnote>
  <w:endnote w:type="continuationSeparator" w:id="0">
    <w:p w:rsidR="00E10021" w:rsidRDefault="00E100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6848DA" w:rsidRDefault="00640E0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6848DA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6848DA" w:rsidRDefault="00640E0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6848DA" w:rsidRDefault="00640E0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640E0C">
            <w:pPr>
              <w:pStyle w:val="Rodap"/>
              <w:jc w:val="right"/>
            </w:pPr>
            <w:r w:rsidRPr="006848DA">
              <w:rPr>
                <w:rFonts w:asciiTheme="majorHAnsi" w:hAnsiTheme="majorHAnsi"/>
              </w:rPr>
              <w:t xml:space="preserve">Página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PAGE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BC3D62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6848DA">
              <w:rPr>
                <w:rFonts w:asciiTheme="majorHAnsi" w:hAnsiTheme="majorHAnsi"/>
              </w:rPr>
              <w:t xml:space="preserve"> de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NUMPAGES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BC3D62">
              <w:rPr>
                <w:rFonts w:asciiTheme="majorHAnsi" w:hAnsiTheme="majorHAnsi"/>
                <w:b/>
                <w:bCs/>
                <w:noProof/>
              </w:rPr>
              <w:t>2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0021" w:rsidRDefault="00E10021">
      <w:pPr>
        <w:spacing w:line="240" w:lineRule="auto"/>
      </w:pPr>
      <w:r>
        <w:separator/>
      </w:r>
    </w:p>
  </w:footnote>
  <w:footnote w:type="continuationSeparator" w:id="0">
    <w:p w:rsidR="00E10021" w:rsidRDefault="00E1002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640E0C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417419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7155">
      <w:rPr>
        <w:rFonts w:ascii="Cambria" w:hAnsi="Cambria"/>
        <w:smallCaps/>
        <w:color w:val="0070C0"/>
        <w:sz w:val="50"/>
      </w:rPr>
      <w:t xml:space="preserve">             </w:t>
    </w:r>
    <w:r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640E0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               </w:t>
    </w:r>
    <w:r w:rsidR="00A939CC">
      <w:rPr>
        <w:rFonts w:ascii="Arial" w:hAnsi="Arial"/>
        <w:sz w:val="28"/>
        <w:szCs w:val="32"/>
      </w:rPr>
      <w:t>Comissão de Justiça, Legislação e Redação</w:t>
    </w:r>
  </w:p>
  <w:p w:rsidR="002F5765" w:rsidRPr="006848DA" w:rsidRDefault="002F5765">
    <w:pPr>
      <w:pStyle w:val="Cabealho"/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1812EFE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44A3E18" w:tentative="1">
      <w:start w:val="1"/>
      <w:numFmt w:val="lowerLetter"/>
      <w:lvlText w:val="%2."/>
      <w:lvlJc w:val="left"/>
      <w:pPr>
        <w:ind w:left="1440" w:hanging="360"/>
      </w:pPr>
    </w:lvl>
    <w:lvl w:ilvl="2" w:tplc="A1D6FBEE" w:tentative="1">
      <w:start w:val="1"/>
      <w:numFmt w:val="lowerRoman"/>
      <w:lvlText w:val="%3."/>
      <w:lvlJc w:val="right"/>
      <w:pPr>
        <w:ind w:left="2160" w:hanging="180"/>
      </w:pPr>
    </w:lvl>
    <w:lvl w:ilvl="3" w:tplc="79F2CD1E" w:tentative="1">
      <w:start w:val="1"/>
      <w:numFmt w:val="decimal"/>
      <w:lvlText w:val="%4."/>
      <w:lvlJc w:val="left"/>
      <w:pPr>
        <w:ind w:left="2880" w:hanging="360"/>
      </w:pPr>
    </w:lvl>
    <w:lvl w:ilvl="4" w:tplc="8D6039D4" w:tentative="1">
      <w:start w:val="1"/>
      <w:numFmt w:val="lowerLetter"/>
      <w:lvlText w:val="%5."/>
      <w:lvlJc w:val="left"/>
      <w:pPr>
        <w:ind w:left="3600" w:hanging="360"/>
      </w:pPr>
    </w:lvl>
    <w:lvl w:ilvl="5" w:tplc="D2B29A68" w:tentative="1">
      <w:start w:val="1"/>
      <w:numFmt w:val="lowerRoman"/>
      <w:lvlText w:val="%6."/>
      <w:lvlJc w:val="right"/>
      <w:pPr>
        <w:ind w:left="4320" w:hanging="180"/>
      </w:pPr>
    </w:lvl>
    <w:lvl w:ilvl="6" w:tplc="F8A6AEB6" w:tentative="1">
      <w:start w:val="1"/>
      <w:numFmt w:val="decimal"/>
      <w:lvlText w:val="%7."/>
      <w:lvlJc w:val="left"/>
      <w:pPr>
        <w:ind w:left="5040" w:hanging="360"/>
      </w:pPr>
    </w:lvl>
    <w:lvl w:ilvl="7" w:tplc="1EC026F0" w:tentative="1">
      <w:start w:val="1"/>
      <w:numFmt w:val="lowerLetter"/>
      <w:lvlText w:val="%8."/>
      <w:lvlJc w:val="left"/>
      <w:pPr>
        <w:ind w:left="5760" w:hanging="360"/>
      </w:pPr>
    </w:lvl>
    <w:lvl w:ilvl="8" w:tplc="37426E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4398834A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13145F14" w:tentative="1">
      <w:start w:val="1"/>
      <w:numFmt w:val="lowerLetter"/>
      <w:lvlText w:val="%2."/>
      <w:lvlJc w:val="left"/>
      <w:pPr>
        <w:ind w:left="1130" w:hanging="360"/>
      </w:pPr>
    </w:lvl>
    <w:lvl w:ilvl="2" w:tplc="D9EA8274" w:tentative="1">
      <w:start w:val="1"/>
      <w:numFmt w:val="lowerRoman"/>
      <w:lvlText w:val="%3."/>
      <w:lvlJc w:val="right"/>
      <w:pPr>
        <w:ind w:left="1850" w:hanging="180"/>
      </w:pPr>
    </w:lvl>
    <w:lvl w:ilvl="3" w:tplc="33080E7A" w:tentative="1">
      <w:start w:val="1"/>
      <w:numFmt w:val="decimal"/>
      <w:lvlText w:val="%4."/>
      <w:lvlJc w:val="left"/>
      <w:pPr>
        <w:ind w:left="2570" w:hanging="360"/>
      </w:pPr>
    </w:lvl>
    <w:lvl w:ilvl="4" w:tplc="C0421CD2" w:tentative="1">
      <w:start w:val="1"/>
      <w:numFmt w:val="lowerLetter"/>
      <w:lvlText w:val="%5."/>
      <w:lvlJc w:val="left"/>
      <w:pPr>
        <w:ind w:left="3290" w:hanging="360"/>
      </w:pPr>
    </w:lvl>
    <w:lvl w:ilvl="5" w:tplc="F1888768" w:tentative="1">
      <w:start w:val="1"/>
      <w:numFmt w:val="lowerRoman"/>
      <w:lvlText w:val="%6."/>
      <w:lvlJc w:val="right"/>
      <w:pPr>
        <w:ind w:left="4010" w:hanging="180"/>
      </w:pPr>
    </w:lvl>
    <w:lvl w:ilvl="6" w:tplc="492EDC9C" w:tentative="1">
      <w:start w:val="1"/>
      <w:numFmt w:val="decimal"/>
      <w:lvlText w:val="%7."/>
      <w:lvlJc w:val="left"/>
      <w:pPr>
        <w:ind w:left="4730" w:hanging="360"/>
      </w:pPr>
    </w:lvl>
    <w:lvl w:ilvl="7" w:tplc="CA662894" w:tentative="1">
      <w:start w:val="1"/>
      <w:numFmt w:val="lowerLetter"/>
      <w:lvlText w:val="%8."/>
      <w:lvlJc w:val="left"/>
      <w:pPr>
        <w:ind w:left="5450" w:hanging="360"/>
      </w:pPr>
    </w:lvl>
    <w:lvl w:ilvl="8" w:tplc="2BA6D276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4E7C6538">
      <w:start w:val="1"/>
      <w:numFmt w:val="decimal"/>
      <w:lvlText w:val="%1."/>
      <w:lvlJc w:val="left"/>
      <w:pPr>
        <w:ind w:left="770" w:hanging="360"/>
      </w:pPr>
    </w:lvl>
    <w:lvl w:ilvl="1" w:tplc="8AAC7274" w:tentative="1">
      <w:start w:val="1"/>
      <w:numFmt w:val="lowerLetter"/>
      <w:lvlText w:val="%2."/>
      <w:lvlJc w:val="left"/>
      <w:pPr>
        <w:ind w:left="1490" w:hanging="360"/>
      </w:pPr>
    </w:lvl>
    <w:lvl w:ilvl="2" w:tplc="6B6C8C38" w:tentative="1">
      <w:start w:val="1"/>
      <w:numFmt w:val="lowerRoman"/>
      <w:lvlText w:val="%3."/>
      <w:lvlJc w:val="right"/>
      <w:pPr>
        <w:ind w:left="2210" w:hanging="180"/>
      </w:pPr>
    </w:lvl>
    <w:lvl w:ilvl="3" w:tplc="B37E86F2" w:tentative="1">
      <w:start w:val="1"/>
      <w:numFmt w:val="decimal"/>
      <w:lvlText w:val="%4."/>
      <w:lvlJc w:val="left"/>
      <w:pPr>
        <w:ind w:left="2930" w:hanging="360"/>
      </w:pPr>
    </w:lvl>
    <w:lvl w:ilvl="4" w:tplc="7260392C" w:tentative="1">
      <w:start w:val="1"/>
      <w:numFmt w:val="lowerLetter"/>
      <w:lvlText w:val="%5."/>
      <w:lvlJc w:val="left"/>
      <w:pPr>
        <w:ind w:left="3650" w:hanging="360"/>
      </w:pPr>
    </w:lvl>
    <w:lvl w:ilvl="5" w:tplc="BC4093E4" w:tentative="1">
      <w:start w:val="1"/>
      <w:numFmt w:val="lowerRoman"/>
      <w:lvlText w:val="%6."/>
      <w:lvlJc w:val="right"/>
      <w:pPr>
        <w:ind w:left="4370" w:hanging="180"/>
      </w:pPr>
    </w:lvl>
    <w:lvl w:ilvl="6" w:tplc="0AF22520" w:tentative="1">
      <w:start w:val="1"/>
      <w:numFmt w:val="decimal"/>
      <w:lvlText w:val="%7."/>
      <w:lvlJc w:val="left"/>
      <w:pPr>
        <w:ind w:left="5090" w:hanging="360"/>
      </w:pPr>
    </w:lvl>
    <w:lvl w:ilvl="7" w:tplc="A80C4FB8" w:tentative="1">
      <w:start w:val="1"/>
      <w:numFmt w:val="lowerLetter"/>
      <w:lvlText w:val="%8."/>
      <w:lvlJc w:val="left"/>
      <w:pPr>
        <w:ind w:left="5810" w:hanging="360"/>
      </w:pPr>
    </w:lvl>
    <w:lvl w:ilvl="8" w:tplc="B6625812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69B0"/>
    <w:rsid w:val="000477D9"/>
    <w:rsid w:val="00055EFF"/>
    <w:rsid w:val="000745D9"/>
    <w:rsid w:val="000805FE"/>
    <w:rsid w:val="00085AB3"/>
    <w:rsid w:val="0009552F"/>
    <w:rsid w:val="000A3863"/>
    <w:rsid w:val="000A593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0F44F3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1684"/>
    <w:rsid w:val="001941A7"/>
    <w:rsid w:val="001A462F"/>
    <w:rsid w:val="001B1AA9"/>
    <w:rsid w:val="001C00A7"/>
    <w:rsid w:val="001D70B1"/>
    <w:rsid w:val="001E0324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3C26"/>
    <w:rsid w:val="00344FD9"/>
    <w:rsid w:val="003535BF"/>
    <w:rsid w:val="003651BB"/>
    <w:rsid w:val="00375815"/>
    <w:rsid w:val="003765B5"/>
    <w:rsid w:val="00381BD9"/>
    <w:rsid w:val="003A6E53"/>
    <w:rsid w:val="003D339F"/>
    <w:rsid w:val="003D5DF3"/>
    <w:rsid w:val="003E2A88"/>
    <w:rsid w:val="003E53DF"/>
    <w:rsid w:val="003E7155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1965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F14"/>
    <w:rsid w:val="00640E0C"/>
    <w:rsid w:val="00642028"/>
    <w:rsid w:val="00646022"/>
    <w:rsid w:val="006578A9"/>
    <w:rsid w:val="0066306B"/>
    <w:rsid w:val="00663FFB"/>
    <w:rsid w:val="006768B7"/>
    <w:rsid w:val="006848DA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7019D"/>
    <w:rsid w:val="00781B87"/>
    <w:rsid w:val="00785355"/>
    <w:rsid w:val="00796FD3"/>
    <w:rsid w:val="007B4EDA"/>
    <w:rsid w:val="007D3E59"/>
    <w:rsid w:val="007D7A18"/>
    <w:rsid w:val="007F3122"/>
    <w:rsid w:val="0080024E"/>
    <w:rsid w:val="00801A34"/>
    <w:rsid w:val="00807F5B"/>
    <w:rsid w:val="00814615"/>
    <w:rsid w:val="00814DC5"/>
    <w:rsid w:val="0082212A"/>
    <w:rsid w:val="00852AF6"/>
    <w:rsid w:val="00857BAF"/>
    <w:rsid w:val="0086780D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0CD5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C3D62"/>
    <w:rsid w:val="00BD7ABC"/>
    <w:rsid w:val="00C01FE7"/>
    <w:rsid w:val="00C07535"/>
    <w:rsid w:val="00C1199D"/>
    <w:rsid w:val="00C20CBF"/>
    <w:rsid w:val="00C2184B"/>
    <w:rsid w:val="00C34361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0021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A405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3F94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F883CF-195A-4464-B5B5-5FFAB030A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D7223D-7D91-4FEF-8B2E-931D53107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341</Words>
  <Characters>1843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$DOCUMENTOTRAMITEDOCUMENTO$</vt:lpstr>
      <vt:lpstr>Processo nº $DOCUMENTOTRAMITEPROCESSO$</vt:lpstr>
      <vt:lpstr>$DOCUMENTOTRAMITEDOCUMENTO$</vt:lpstr>
      <vt:lpstr>Processo nº $DOCUMENTOTRAMITEPROCESSO$</vt:lpstr>
    </vt:vector>
  </TitlesOfParts>
  <Company/>
  <LinksUpToDate>false</LinksUpToDate>
  <CharactersWithSpaces>2180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13</cp:revision>
  <cp:lastPrinted>2018-06-08T17:01:00Z</cp:lastPrinted>
  <dcterms:created xsi:type="dcterms:W3CDTF">2019-01-29T17:14:00Z</dcterms:created>
  <dcterms:modified xsi:type="dcterms:W3CDTF">2021-07-12T13:25:00Z</dcterms:modified>
</cp:coreProperties>
</file>