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7D411B" w:rsidTr="00EA09DA">
        <w:tc>
          <w:tcPr>
            <w:tcW w:w="2552" w:type="dxa"/>
            <w:hideMark/>
          </w:tcPr>
          <w:p w:rsidR="00EA09DA" w:rsidRPr="00EA09DA" w:rsidRDefault="00B72E88" w:rsidP="00EA09DA">
            <w:pPr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 w:rsidRPr="00EA09DA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:rsidR="00EA09DA" w:rsidRPr="00EA09DA" w:rsidRDefault="00B72E88" w:rsidP="00EA09DA">
            <w:pPr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 w:rsidRPr="00EA09DA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163</w:t>
            </w:r>
          </w:p>
        </w:tc>
        <w:tc>
          <w:tcPr>
            <w:tcW w:w="1797" w:type="dxa"/>
            <w:hideMark/>
          </w:tcPr>
          <w:p w:rsidR="00EA09DA" w:rsidRPr="00EA09DA" w:rsidRDefault="00B72E88" w:rsidP="00C022E6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 w:rsidRPr="00EA09DA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C022E6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b/>
          <w:bCs/>
          <w:sz w:val="23"/>
          <w:szCs w:val="23"/>
          <w:lang w:eastAsia="pt-BR"/>
        </w:rPr>
      </w:pPr>
    </w:p>
    <w:p w:rsidR="00EA09DA" w:rsidRPr="00EA09DA" w:rsidRDefault="00B72E88" w:rsidP="00EA09DA">
      <w:pPr>
        <w:keepNext/>
        <w:autoSpaceDE w:val="0"/>
        <w:autoSpaceDN w:val="0"/>
        <w:jc w:val="both"/>
        <w:outlineLvl w:val="0"/>
        <w:rPr>
          <w:rFonts w:ascii="Cambria" w:eastAsia="Times New Roman" w:hAnsi="Cambria" w:cs="Arial"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>Projeto de Lei nº 128/2021</w:t>
      </w:r>
    </w:p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B72E88" w:rsidP="00EA09DA">
      <w:pPr>
        <w:keepNext/>
        <w:autoSpaceDE w:val="0"/>
        <w:autoSpaceDN w:val="0"/>
        <w:jc w:val="both"/>
        <w:outlineLvl w:val="0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>Processo nº 168/2021</w:t>
      </w:r>
    </w:p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B72E88" w:rsidP="00EA09DA">
      <w:pPr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 xml:space="preserve">Iniciativa: </w:t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>PREFEITURA DO MUNICÍPIO DE ARARAQUARA</w:t>
      </w:r>
    </w:p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B72E88" w:rsidP="00EA09DA">
      <w:pPr>
        <w:autoSpaceDE w:val="0"/>
        <w:autoSpaceDN w:val="0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 xml:space="preserve">Assunto: </w:t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>Denomina Irma Pulcini Faglioni e Justino Candido de Medeiros as academias ao ar livre que especifica.</w:t>
      </w:r>
    </w:p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EA09DA" w:rsidRPr="00EA09DA" w:rsidRDefault="00B72E88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 xml:space="preserve">Propositura </w:t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>formalmente em ordem, atendendo às normas regimentais vigentes.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B72E88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Compete à Câmara Municipal legislar acerca da denominação de próprios, vias e logradouros públicos (art. 21, XIII, da Lei Orgânica).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B72E88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Os projetos de lei denominando bens municipais são es</w:t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>pécies de elaboração legislativa especial, tendo suas especificidades previstas no artigo 312 do Regimento Interno da Câmara Municipal de Araraquara.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B72E88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O presente projeto contém, em sua justificativa, a biografia do homenageado, demonstrando que ele se de</w:t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>stacou pelo seu trabalho, conduta pessoal e espírito público, tendo contribuído para o progresso e engrandecimento do município.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B72E88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Restou demonstrado nos autos, também, que se trata de homenagem póstuma.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B72E88" w:rsidP="00E32B0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>Assim sendo, esta Comissão manifesta-se pela legalidade da propositura.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EA09DA" w:rsidRPr="00EA09DA" w:rsidRDefault="00B72E88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  <w:t>Quanto ao mérito, cabe ao plenário decidir.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EA09DA" w:rsidRPr="00EA09DA" w:rsidRDefault="00B72E88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  <w:t>À Comissão de Obras, Segurança, Serviç</w:t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>os e Bens Públicos para manifestação.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EA09DA" w:rsidRPr="00EA09DA" w:rsidRDefault="00B72E88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  <w:t>É o parecer.</w:t>
      </w:r>
    </w:p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5B5040" w:rsidRDefault="00B72E88" w:rsidP="005B5040">
      <w:pPr>
        <w:autoSpaceDE w:val="0"/>
        <w:autoSpaceDN w:val="0"/>
        <w:ind w:left="708" w:firstLine="708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5B5040">
        <w:rPr>
          <w:rFonts w:ascii="Cambria" w:eastAsia="Times New Roman" w:hAnsi="Cambria" w:cs="Arial"/>
          <w:bCs/>
          <w:lang w:eastAsia="pt-BR"/>
        </w:rPr>
        <w:t xml:space="preserve">                           </w:t>
      </w:r>
      <w:r w:rsidRPr="005B5040">
        <w:rPr>
          <w:rFonts w:ascii="Cambria" w:eastAsia="Times New Roman" w:hAnsi="Cambria" w:cs="Arial"/>
          <w:bCs/>
          <w:sz w:val="23"/>
          <w:szCs w:val="23"/>
          <w:lang w:eastAsia="pt-BR"/>
        </w:rPr>
        <w:t>Sala de reuniões das comissões, 2</w:t>
      </w:r>
      <w:r w:rsidR="00E32B0D">
        <w:rPr>
          <w:rFonts w:ascii="Cambria" w:eastAsia="Times New Roman" w:hAnsi="Cambria" w:cs="Arial"/>
          <w:bCs/>
          <w:sz w:val="23"/>
          <w:szCs w:val="23"/>
          <w:lang w:eastAsia="pt-BR"/>
        </w:rPr>
        <w:t>8</w:t>
      </w:r>
      <w:r w:rsidRPr="005B5040">
        <w:rPr>
          <w:rFonts w:ascii="Cambria" w:eastAsia="Times New Roman" w:hAnsi="Cambria" w:cs="Arial"/>
          <w:bCs/>
          <w:sz w:val="23"/>
          <w:szCs w:val="23"/>
          <w:lang w:eastAsia="pt-BR"/>
        </w:rPr>
        <w:t xml:space="preserve"> </w:t>
      </w:r>
      <w:bookmarkStart w:id="0" w:name="_GoBack"/>
      <w:bookmarkEnd w:id="0"/>
      <w:r w:rsidRPr="005B5040">
        <w:rPr>
          <w:rFonts w:ascii="Cambria" w:eastAsia="Times New Roman" w:hAnsi="Cambria" w:cs="Arial"/>
          <w:bCs/>
          <w:sz w:val="23"/>
          <w:szCs w:val="23"/>
          <w:lang w:eastAsia="pt-BR"/>
        </w:rPr>
        <w:t>de maio de 2021.</w:t>
      </w:r>
    </w:p>
    <w:p w:rsidR="005B5040" w:rsidRPr="005B5040" w:rsidRDefault="005B5040" w:rsidP="005B5040">
      <w:pPr>
        <w:autoSpaceDE w:val="0"/>
        <w:autoSpaceDN w:val="0"/>
        <w:ind w:left="708" w:firstLine="708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5B5040" w:rsidRPr="005B5040" w:rsidRDefault="005B5040" w:rsidP="005B5040">
      <w:pPr>
        <w:autoSpaceDE w:val="0"/>
        <w:autoSpaceDN w:val="0"/>
        <w:jc w:val="center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5B5040" w:rsidRPr="005B5040" w:rsidRDefault="00B72E88" w:rsidP="005B5040">
      <w:pPr>
        <w:autoSpaceDE w:val="0"/>
        <w:autoSpaceDN w:val="0"/>
        <w:jc w:val="center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5B5040">
        <w:rPr>
          <w:rFonts w:ascii="Cambria" w:eastAsia="Times New Roman" w:hAnsi="Cambria" w:cs="Arial"/>
          <w:bCs/>
          <w:sz w:val="23"/>
          <w:szCs w:val="23"/>
          <w:lang w:eastAsia="pt-BR"/>
        </w:rPr>
        <w:t>_____________________________</w:t>
      </w:r>
    </w:p>
    <w:p w:rsidR="005B5040" w:rsidRPr="005B5040" w:rsidRDefault="00B72E88" w:rsidP="005B5040">
      <w:pPr>
        <w:autoSpaceDE w:val="0"/>
        <w:autoSpaceDN w:val="0"/>
        <w:jc w:val="center"/>
        <w:rPr>
          <w:rFonts w:ascii="Cambria" w:eastAsia="Times New Roman" w:hAnsi="Cambria" w:cs="Arial"/>
          <w:b/>
          <w:bCs/>
          <w:sz w:val="23"/>
          <w:szCs w:val="23"/>
          <w:lang w:eastAsia="pt-BR"/>
        </w:rPr>
      </w:pPr>
      <w:r w:rsidRPr="005B5040"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>Hugo Adorno</w:t>
      </w:r>
    </w:p>
    <w:p w:rsidR="005B5040" w:rsidRPr="005B5040" w:rsidRDefault="00B72E88" w:rsidP="005B5040">
      <w:pPr>
        <w:autoSpaceDE w:val="0"/>
        <w:autoSpaceDN w:val="0"/>
        <w:jc w:val="center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5B5040"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>Presidente da CJLR</w:t>
      </w:r>
    </w:p>
    <w:p w:rsidR="005B5040" w:rsidRPr="005B5040" w:rsidRDefault="005B5040" w:rsidP="005B5040">
      <w:pPr>
        <w:autoSpaceDE w:val="0"/>
        <w:autoSpaceDN w:val="0"/>
        <w:jc w:val="center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5B5040" w:rsidRPr="005B5040" w:rsidRDefault="005B5040" w:rsidP="005B5040">
      <w:pPr>
        <w:autoSpaceDE w:val="0"/>
        <w:autoSpaceDN w:val="0"/>
        <w:jc w:val="center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5B5040" w:rsidRPr="005B5040" w:rsidRDefault="00B72E88" w:rsidP="005B5040">
      <w:pPr>
        <w:autoSpaceDE w:val="0"/>
        <w:autoSpaceDN w:val="0"/>
        <w:jc w:val="center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5B5040">
        <w:rPr>
          <w:rFonts w:ascii="Cambria" w:eastAsia="Times New Roman" w:hAnsi="Cambria" w:cs="Arial"/>
          <w:bCs/>
          <w:sz w:val="23"/>
          <w:szCs w:val="23"/>
          <w:lang w:eastAsia="pt-BR"/>
        </w:rPr>
        <w:t xml:space="preserve">____________________________             </w:t>
      </w:r>
      <w:r>
        <w:rPr>
          <w:rFonts w:ascii="Cambria" w:eastAsia="Times New Roman" w:hAnsi="Cambria" w:cs="Arial"/>
          <w:bCs/>
          <w:sz w:val="23"/>
          <w:szCs w:val="23"/>
          <w:lang w:eastAsia="pt-BR"/>
        </w:rPr>
        <w:t xml:space="preserve">                       </w:t>
      </w:r>
      <w:r w:rsidRPr="005B5040">
        <w:rPr>
          <w:rFonts w:ascii="Cambria" w:eastAsia="Times New Roman" w:hAnsi="Cambria" w:cs="Arial"/>
          <w:bCs/>
          <w:sz w:val="23"/>
          <w:szCs w:val="23"/>
          <w:lang w:eastAsia="pt-BR"/>
        </w:rPr>
        <w:t xml:space="preserve"> ____________________________</w:t>
      </w:r>
    </w:p>
    <w:p w:rsidR="004F0B73" w:rsidRPr="005B5040" w:rsidRDefault="00B72E88" w:rsidP="005B5040">
      <w:pPr>
        <w:autoSpaceDE w:val="0"/>
        <w:autoSpaceDN w:val="0"/>
        <w:jc w:val="both"/>
        <w:rPr>
          <w:rFonts w:ascii="Cambria" w:eastAsia="Times New Roman" w:hAnsi="Cambria" w:cs="Arial"/>
          <w:b/>
          <w:bCs/>
          <w:sz w:val="23"/>
          <w:szCs w:val="23"/>
          <w:lang w:eastAsia="pt-BR"/>
        </w:rPr>
      </w:pPr>
      <w:r w:rsidRPr="005B5040"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 xml:space="preserve">                        </w:t>
      </w:r>
      <w:r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 xml:space="preserve">     </w:t>
      </w:r>
      <w:r w:rsidRPr="005B5040"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 xml:space="preserve">Guilherme Bianco </w:t>
      </w:r>
      <w:r w:rsidRPr="005B5040"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ab/>
        <w:t xml:space="preserve">                  </w:t>
      </w:r>
      <w:r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 xml:space="preserve"> </w:t>
      </w:r>
      <w:r w:rsidRPr="005B5040"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 xml:space="preserve"> </w:t>
      </w:r>
      <w:r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 xml:space="preserve">                          </w:t>
      </w:r>
      <w:r w:rsidRPr="005B5040"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>Thainara Faria</w:t>
      </w:r>
    </w:p>
    <w:sectPr w:rsidR="004F0B73" w:rsidRPr="005B5040" w:rsidSect="00FC30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E88" w:rsidRDefault="00B72E88">
      <w:r>
        <w:separator/>
      </w:r>
    </w:p>
  </w:endnote>
  <w:endnote w:type="continuationSeparator" w:id="0">
    <w:p w:rsidR="00B72E88" w:rsidRDefault="00B7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E88" w:rsidRDefault="00B72E88">
      <w:r>
        <w:separator/>
      </w:r>
    </w:p>
  </w:footnote>
  <w:footnote w:type="continuationSeparator" w:id="0">
    <w:p w:rsidR="00B72E88" w:rsidRDefault="00B72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DA" w:rsidRDefault="00B72E88" w:rsidP="00EA09DA">
    <w:pPr>
      <w:spacing w:after="120"/>
      <w:jc w:val="center"/>
      <w:rPr>
        <w:rFonts w:ascii="Cambria" w:hAnsi="Cambria"/>
        <w:smallCaps/>
        <w:color w:val="5B9BD5"/>
        <w:sz w:val="5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-365760</wp:posOffset>
          </wp:positionH>
          <wp:positionV relativeFrom="paragraph">
            <wp:posOffset>-195580</wp:posOffset>
          </wp:positionV>
          <wp:extent cx="798195" cy="878205"/>
          <wp:effectExtent l="0" t="0" r="0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52479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smallCaps/>
        <w:color w:val="5B9BD5"/>
        <w:sz w:val="50"/>
      </w:rPr>
      <w:t>Câmara Municipal de Arar</w:t>
    </w:r>
    <w:r>
      <w:rPr>
        <w:rFonts w:ascii="Cambria" w:hAnsi="Cambria"/>
        <w:smallCaps/>
        <w:color w:val="5B9BD5"/>
        <w:sz w:val="50"/>
      </w:rPr>
      <w:t>aquara</w:t>
    </w:r>
  </w:p>
  <w:p w:rsidR="00EA09DA" w:rsidRDefault="00B72E88" w:rsidP="00EA09DA">
    <w:pPr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EA09DA" w:rsidRDefault="00EA09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E4683"/>
    <w:rsid w:val="004F0B73"/>
    <w:rsid w:val="005B5040"/>
    <w:rsid w:val="007D411B"/>
    <w:rsid w:val="00A906D8"/>
    <w:rsid w:val="00AB5A74"/>
    <w:rsid w:val="00B5706F"/>
    <w:rsid w:val="00B72E88"/>
    <w:rsid w:val="00C022E6"/>
    <w:rsid w:val="00E32B0D"/>
    <w:rsid w:val="00EA09D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A09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9DA"/>
  </w:style>
  <w:style w:type="paragraph" w:styleId="Rodap">
    <w:name w:val="footer"/>
    <w:basedOn w:val="Normal"/>
    <w:link w:val="RodapChar"/>
    <w:uiPriority w:val="99"/>
    <w:unhideWhenUsed/>
    <w:rsid w:val="00EA09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0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7</cp:revision>
  <dcterms:created xsi:type="dcterms:W3CDTF">2020-08-07T15:55:00Z</dcterms:created>
  <dcterms:modified xsi:type="dcterms:W3CDTF">2021-05-27T19:25:00Z</dcterms:modified>
</cp:coreProperties>
</file>