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EF2CB2" w:rsidP="00225217">
      <w:pPr>
        <w:pStyle w:val="AQAEMENTA"/>
        <w:contextualSpacing/>
      </w:pPr>
      <w:r>
        <w:t xml:space="preserve">Institui e inclui </w:t>
      </w:r>
      <w:r w:rsidRPr="00EF2CB2">
        <w:t>no Calendário Oficial de Eventos do Município de Araraquara o “Mês de conscientização e orientação sobre a fibromialgia”, a ser realizado anualmente no mês de maio</w:t>
      </w:r>
      <w:r>
        <w:t>, e dá outras providências</w:t>
      </w:r>
      <w:r w:rsidR="003F71D4" w:rsidRPr="000A1CD6">
        <w:t>.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3A03BF" w:rsidRDefault="003A03BF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1º </w:t>
      </w:r>
      <w:r w:rsidR="00EF2CB2">
        <w:rPr>
          <w:rFonts w:ascii="Calibri" w:hAnsi="Calibri" w:cs="Calibri"/>
          <w:sz w:val="24"/>
          <w:szCs w:val="22"/>
        </w:rPr>
        <w:t>Fica instituído e incluído no Calendário Oficial de Eventos do Município de Araraquara o “Mês de conscientização e orientação sobre a fibromialgia”, a ser realizado anualmente no mês de maio</w:t>
      </w:r>
      <w:r>
        <w:rPr>
          <w:rFonts w:ascii="Calibri" w:hAnsi="Calibri" w:cs="Calibri"/>
          <w:sz w:val="24"/>
          <w:szCs w:val="22"/>
        </w:rPr>
        <w:t>.</w:t>
      </w:r>
    </w:p>
    <w:p w:rsidR="003A03BF" w:rsidRDefault="003A03BF" w:rsidP="00EF2CB2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>Art. 2</w:t>
      </w:r>
      <w:r w:rsidRPr="00FE3614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="00EF2CB2">
        <w:rPr>
          <w:rFonts w:ascii="Calibri" w:hAnsi="Calibri" w:cs="Calibri"/>
          <w:sz w:val="24"/>
          <w:szCs w:val="22"/>
        </w:rPr>
        <w:t>A data a que se refere o art. 1º pode ser celebrada mediante</w:t>
      </w:r>
      <w:r w:rsidR="00EF2CB2" w:rsidRPr="00EF2CB2">
        <w:rPr>
          <w:rFonts w:ascii="Calibri" w:hAnsi="Calibri" w:cs="Calibri"/>
          <w:sz w:val="24"/>
          <w:szCs w:val="22"/>
        </w:rPr>
        <w:t xml:space="preserve"> campanhas educativas, palestra</w:t>
      </w:r>
      <w:r w:rsidR="00EF2CB2">
        <w:rPr>
          <w:rFonts w:ascii="Calibri" w:hAnsi="Calibri" w:cs="Calibri"/>
          <w:sz w:val="24"/>
          <w:szCs w:val="22"/>
        </w:rPr>
        <w:t>s</w:t>
      </w:r>
      <w:r w:rsidR="00EF2CB2" w:rsidRPr="00EF2CB2">
        <w:rPr>
          <w:rFonts w:ascii="Calibri" w:hAnsi="Calibri" w:cs="Calibri"/>
          <w:sz w:val="24"/>
          <w:szCs w:val="22"/>
        </w:rPr>
        <w:t>, suporte psicológico</w:t>
      </w:r>
      <w:r w:rsidR="00EF2CB2">
        <w:rPr>
          <w:rFonts w:ascii="Calibri" w:hAnsi="Calibri" w:cs="Calibri"/>
          <w:sz w:val="24"/>
          <w:szCs w:val="22"/>
        </w:rPr>
        <w:t>, e outros eventos, mediante</w:t>
      </w:r>
      <w:r w:rsidR="00EF2CB2" w:rsidRPr="00EF2CB2">
        <w:rPr>
          <w:rFonts w:ascii="Calibri" w:hAnsi="Calibri" w:cs="Calibri"/>
          <w:sz w:val="24"/>
          <w:szCs w:val="22"/>
        </w:rPr>
        <w:t xml:space="preserve"> parcerias com universidades e es</w:t>
      </w:r>
      <w:r w:rsidR="00EF2CB2">
        <w:rPr>
          <w:rFonts w:ascii="Calibri" w:hAnsi="Calibri" w:cs="Calibri"/>
          <w:sz w:val="24"/>
          <w:szCs w:val="22"/>
        </w:rPr>
        <w:t>pecialistas</w:t>
      </w:r>
      <w:r w:rsidR="00EF2CB2" w:rsidRPr="00EF2CB2">
        <w:rPr>
          <w:rFonts w:ascii="Calibri" w:hAnsi="Calibri" w:cs="Calibri"/>
          <w:sz w:val="24"/>
          <w:szCs w:val="22"/>
        </w:rPr>
        <w:t>, com o objetivo de auxiliar os pacientes e familiares quanto à condução do tratamento no dia a dia e informação sobre novas e inovadoras técnicas estudadas por especialistas para aprimorar o êxito nessa caminhada.</w:t>
      </w:r>
    </w:p>
    <w:p w:rsidR="003A03BF" w:rsidRPr="00537139" w:rsidRDefault="00EF2CB2" w:rsidP="003A03BF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Art. 3º</w:t>
      </w:r>
      <w:r w:rsidR="003A03BF">
        <w:rPr>
          <w:rFonts w:ascii="Calibri" w:hAnsi="Calibri" w:cs="Arial"/>
          <w:sz w:val="24"/>
          <w:szCs w:val="24"/>
        </w:rPr>
        <w:t xml:space="preserve"> </w:t>
      </w:r>
      <w:r w:rsidRPr="00EF2CB2">
        <w:rPr>
          <w:rFonts w:ascii="Calibri" w:hAnsi="Calibri" w:cs="Arial"/>
          <w:sz w:val="24"/>
          <w:szCs w:val="24"/>
        </w:rPr>
        <w:t>Os recursos necessários para atender as despesas com a execução desta lei serão obtidos mediante doação de empresas privadas, doações e outras fontes que não acarretem ônus para o Município</w:t>
      </w:r>
      <w:r w:rsidR="003A03BF">
        <w:rPr>
          <w:rFonts w:ascii="Calibri" w:hAnsi="Calibri" w:cs="Arial"/>
          <w:sz w:val="24"/>
          <w:szCs w:val="24"/>
        </w:rPr>
        <w:t>.</w:t>
      </w:r>
    </w:p>
    <w:p w:rsidR="003A03BF" w:rsidRDefault="003A03BF" w:rsidP="003A03BF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 xml:space="preserve">Art. </w:t>
      </w:r>
      <w:r w:rsidR="00EF2CB2">
        <w:rPr>
          <w:rFonts w:ascii="Calibri" w:hAnsi="Calibri" w:cs="Arial"/>
          <w:sz w:val="24"/>
          <w:szCs w:val="24"/>
        </w:rPr>
        <w:t>4</w:t>
      </w:r>
      <w:r>
        <w:rPr>
          <w:rFonts w:ascii="Calibri" w:hAnsi="Calibri" w:cs="Arial"/>
          <w:sz w:val="24"/>
          <w:szCs w:val="24"/>
        </w:rPr>
        <w:t>º Est</w:t>
      </w:r>
      <w:r w:rsidRPr="00537139">
        <w:rPr>
          <w:rFonts w:ascii="Calibri" w:hAnsi="Calibri" w:cs="Arial"/>
          <w:sz w:val="24"/>
          <w:szCs w:val="24"/>
        </w:rPr>
        <w:t>a</w:t>
      </w:r>
      <w:r>
        <w:rPr>
          <w:rFonts w:ascii="Calibri" w:hAnsi="Calibri" w:cs="Arial"/>
          <w:sz w:val="24"/>
          <w:szCs w:val="24"/>
        </w:rPr>
        <w:t xml:space="preserve"> lei</w:t>
      </w:r>
      <w:r w:rsidRPr="00537139">
        <w:rPr>
          <w:rFonts w:ascii="Calibri" w:hAnsi="Calibri" w:cs="Arial"/>
          <w:sz w:val="24"/>
          <w:szCs w:val="24"/>
        </w:rPr>
        <w:t xml:space="preserve"> entra em </w:t>
      </w:r>
      <w:r>
        <w:rPr>
          <w:rFonts w:ascii="Calibri" w:hAnsi="Calibri" w:cs="Arial"/>
          <w:sz w:val="24"/>
          <w:szCs w:val="24"/>
        </w:rPr>
        <w:t>vigor na data de sua publicação</w:t>
      </w:r>
      <w:r w:rsidRPr="00537139">
        <w:rPr>
          <w:rFonts w:ascii="Calibri" w:hAnsi="Calibri" w:cs="Arial"/>
          <w:sz w:val="24"/>
          <w:szCs w:val="24"/>
        </w:rPr>
        <w:t>.</w:t>
      </w:r>
    </w:p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77F96" w:rsidRPr="00506EB4" w:rsidRDefault="00477F96" w:rsidP="00477F96">
      <w:pPr>
        <w:jc w:val="center"/>
        <w:rPr>
          <w:rFonts w:ascii="Calibri" w:hAnsi="Calibri" w:cs="Calibri"/>
          <w:sz w:val="28"/>
          <w:szCs w:val="28"/>
        </w:rPr>
      </w:pP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:rsidR="00477F96" w:rsidRDefault="00477F96" w:rsidP="00094636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6979A5" w:rsidRPr="006979A5" w:rsidRDefault="006979A5" w:rsidP="006979A5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979A5">
        <w:rPr>
          <w:rFonts w:ascii="Calibri" w:hAnsi="Calibri" w:cs="Calibri"/>
          <w:sz w:val="24"/>
          <w:szCs w:val="24"/>
        </w:rPr>
        <w:t xml:space="preserve">A fibromialgia é uma doença autoimune que causa dor aguda em diversas articulações do corpo, além do pescoço e outras partes do corpo que não se detecta por exames de sangue, de imagem, etc., ou seja, na grande maioria das vezes, é detectada por exclusão de outras doenças através de exames laboratoriais que não comprovem as doenças investigadas, então, na ausência de fatores que confirmem doenças reumáticas através de exames </w:t>
      </w:r>
      <w:proofErr w:type="spellStart"/>
      <w:r w:rsidRPr="006979A5">
        <w:rPr>
          <w:rFonts w:ascii="Calibri" w:hAnsi="Calibri" w:cs="Calibri"/>
          <w:sz w:val="24"/>
          <w:szCs w:val="24"/>
        </w:rPr>
        <w:t>como</w:t>
      </w:r>
      <w:proofErr w:type="spellEnd"/>
      <w:r w:rsidRPr="006979A5">
        <w:rPr>
          <w:rFonts w:ascii="Calibri" w:hAnsi="Calibri" w:cs="Calibri"/>
          <w:sz w:val="24"/>
          <w:szCs w:val="24"/>
        </w:rPr>
        <w:t xml:space="preserve"> raio x, ressonância magnética e outros, a fibromialgia passa a fazer parte do radar dos especialistas, visto que a dor causada pela doença advém de uma maior sensibilidade e potencialidade cerebral à dor, quase sempre desencadeada por fatores psicológicos e traumas, como uma perda na família, um acidente grave, etc.</w:t>
      </w:r>
    </w:p>
    <w:p w:rsidR="006979A5" w:rsidRPr="006979A5" w:rsidRDefault="006979A5" w:rsidP="006979A5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979A5">
        <w:rPr>
          <w:rFonts w:ascii="Calibri" w:hAnsi="Calibri" w:cs="Calibri"/>
          <w:sz w:val="24"/>
          <w:szCs w:val="24"/>
        </w:rPr>
        <w:t xml:space="preserve">Estudos provam que a fibromialgia está presente em quase 5% da população mundial, o que representa um espectro muito grande, e se manifesta principalmente em mulheres, mas não se descarta a possibilidade de se manifestar em homens também. </w:t>
      </w:r>
    </w:p>
    <w:p w:rsidR="00477F96" w:rsidRDefault="006979A5" w:rsidP="006979A5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979A5">
        <w:rPr>
          <w:rFonts w:ascii="Calibri" w:hAnsi="Calibri" w:cs="Calibri"/>
          <w:sz w:val="24"/>
          <w:szCs w:val="24"/>
        </w:rPr>
        <w:t>O dia 12 de maio é o dia mundial da fibromialgia. A ideia é formalizar o mês de maio, no qual é comemorado o dia mundial, para instituir esse evento municipal, o que pode e deve melhorar a qualidade de vida das pessoas que vivem com essa doença incurável</w:t>
      </w:r>
      <w:r>
        <w:rPr>
          <w:rFonts w:ascii="Calibri" w:hAnsi="Calibri" w:cs="Calibri"/>
          <w:sz w:val="24"/>
          <w:szCs w:val="24"/>
        </w:rPr>
        <w:t>.</w:t>
      </w:r>
    </w:p>
    <w:p w:rsidR="006979A5" w:rsidRDefault="006979A5" w:rsidP="006979A5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477F96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BB48C7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277E9B" w:rsidRDefault="00477F96" w:rsidP="00477F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:rsidR="00477F96" w:rsidRPr="000B68A8" w:rsidRDefault="00477F96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477F96" w:rsidRPr="000B68A8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398" w:rsidRDefault="006D1398">
      <w:r>
        <w:separator/>
      </w:r>
    </w:p>
  </w:endnote>
  <w:endnote w:type="continuationSeparator" w:id="0">
    <w:p w:rsidR="006D1398" w:rsidRDefault="006D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6979A5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6979A5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398" w:rsidRDefault="006D1398">
      <w:r>
        <w:separator/>
      </w:r>
    </w:p>
  </w:footnote>
  <w:footnote w:type="continuationSeparator" w:id="0">
    <w:p w:rsidR="006D1398" w:rsidRDefault="006D1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D1398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D1398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D44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5627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06EB4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979A5"/>
    <w:rsid w:val="006A2C05"/>
    <w:rsid w:val="006A7A6B"/>
    <w:rsid w:val="006C528A"/>
    <w:rsid w:val="006D1398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F18BD"/>
    <w:rsid w:val="00AF1CA6"/>
    <w:rsid w:val="00AF3B6E"/>
    <w:rsid w:val="00AF3CAF"/>
    <w:rsid w:val="00AF3DD4"/>
    <w:rsid w:val="00B015D9"/>
    <w:rsid w:val="00B145B7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2CB2"/>
    <w:rsid w:val="00EF38A0"/>
    <w:rsid w:val="00EF4204"/>
    <w:rsid w:val="00F06947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Valdemar M. Neto Mendonça</cp:lastModifiedBy>
  <cp:revision>138</cp:revision>
  <cp:lastPrinted>2018-06-26T22:41:00Z</cp:lastPrinted>
  <dcterms:created xsi:type="dcterms:W3CDTF">2021-01-08T12:17:00Z</dcterms:created>
  <dcterms:modified xsi:type="dcterms:W3CDTF">2021-03-25T18:32:00Z</dcterms:modified>
</cp:coreProperties>
</file>