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E21C0">
        <w:rPr>
          <w:rFonts w:ascii="Calibri" w:hAnsi="Calibri" w:cs="Calibri"/>
          <w:b/>
          <w:sz w:val="24"/>
          <w:szCs w:val="24"/>
        </w:rPr>
        <w:t>172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E21C0">
        <w:rPr>
          <w:rFonts w:ascii="Calibri" w:hAnsi="Calibri" w:cs="Calibri"/>
          <w:b/>
          <w:sz w:val="24"/>
          <w:szCs w:val="24"/>
        </w:rPr>
        <w:t>161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BE198F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BE21C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E21C0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12.312, de 9 de julho de 2020, e dá outras providências.</w:t>
      </w:r>
    </w:p>
    <w:p w:rsidR="003A3A7C" w:rsidRPr="00BE198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BE21C0" w:rsidRDefault="00BE21C0" w:rsidP="00BE21C0">
      <w:pPr>
        <w:spacing w:before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ratificada a abertura, pelo Poder Executivo, do crédito adicional extraordinário previsto no Decreto nº 12.312, de 9 de julho de 2020, no valor de R$ 329.355,20 (trezentos e vinte e nove mil, trezentos e cinquenta e cinco reais e vinte centavos), destinado à contratação de serviços e à aquisição de materiais relacionados ao combate à pandemia de COVID-19, bem como à adequação da folha de pagamentos dos empregados públicos municipais, conforme demonstrativo abaixo:</w:t>
      </w: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5248"/>
        <w:gridCol w:w="1628"/>
      </w:tblGrid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320.933,60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R$ 200.000,00 </w:t>
            </w:r>
          </w:p>
        </w:tc>
      </w:tr>
      <w:tr w:rsidR="00BE21C0" w:rsidTr="00BE21C0">
        <w:trPr>
          <w:trHeight w:val="3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60.466,80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15.257,13</w:t>
            </w:r>
          </w:p>
        </w:tc>
      </w:tr>
      <w:tr w:rsidR="00BE21C0" w:rsidTr="00BE21C0">
        <w:trPr>
          <w:trHeight w:val="3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BE21C0" w:rsidTr="00BE21C0">
        <w:trPr>
          <w:trHeight w:val="64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</w:t>
            </w:r>
            <w:proofErr w:type="gramStart"/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$  45.209</w:t>
            </w:r>
            <w:proofErr w:type="gramEnd"/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,67 </w:t>
            </w:r>
          </w:p>
        </w:tc>
      </w:tr>
      <w:tr w:rsidR="00BE21C0" w:rsidTr="00BE21C0">
        <w:trPr>
          <w:trHeight w:val="3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12.122.0117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12.122.0117.2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12.122.0117.2.313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5.000,00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5.000,00 </w:t>
            </w:r>
          </w:p>
        </w:tc>
      </w:tr>
      <w:tr w:rsidR="00BE21C0" w:rsidTr="00BE21C0">
        <w:trPr>
          <w:trHeight w:val="3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3.421,60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E21C0" w:rsidTr="00BE21C0">
        <w:trPr>
          <w:trHeight w:val="223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3.421,60 </w:t>
            </w:r>
          </w:p>
        </w:tc>
      </w:tr>
      <w:tr w:rsidR="00BE21C0" w:rsidTr="00BE21C0">
        <w:trPr>
          <w:trHeight w:val="3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21C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E21C0" w:rsidRPr="00BE21C0" w:rsidRDefault="00BE21C0" w:rsidP="00BE21C0">
      <w:pPr>
        <w:tabs>
          <w:tab w:val="left" w:pos="2835"/>
        </w:tabs>
        <w:spacing w:before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BE21C0">
        <w:rPr>
          <w:rFonts w:ascii="Calibri" w:hAnsi="Calibri" w:cs="Calibri"/>
          <w:bCs/>
          <w:sz w:val="24"/>
          <w:szCs w:val="24"/>
        </w:rPr>
        <w:t>Art. 2º O crédito autorizado no art. 1º deste decreto será coberto por meio de recursos orçamentários provenientes de anulações parciais, na ordem de</w:t>
      </w:r>
      <w:r>
        <w:rPr>
          <w:rFonts w:ascii="Calibri" w:hAnsi="Calibri"/>
          <w:sz w:val="24"/>
          <w:szCs w:val="24"/>
        </w:rPr>
        <w:t xml:space="preserve"> R$ 329.355,20 (trezentos e vinte e nove mil, trezentos e cinquenta e cinco reais e vinte centavos), </w:t>
      </w:r>
      <w:r w:rsidRPr="00BE21C0">
        <w:rPr>
          <w:rFonts w:ascii="Calibri" w:hAnsi="Calibri" w:cs="Calibri"/>
          <w:bCs/>
          <w:sz w:val="24"/>
          <w:szCs w:val="24"/>
        </w:rPr>
        <w:t>das dotações abaixo especificadas:</w:t>
      </w: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5064"/>
        <w:gridCol w:w="1812"/>
      </w:tblGrid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SECRETARIA MUNICIPAL DA SAUDE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320.933,60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200.000,00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3.1.90.13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OBRIGAÇÕES PATRONAIS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 60.466,80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15.257,13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lastRenderedPageBreak/>
              <w:t>3.1.90.11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45.209,67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SECRETARIA MUNICIPAL DE EDUCAÇÃO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EDUCAÇÃO INFANTIL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EDUCAÇÃO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12.122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12.122.0117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12.122.0117.2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12.122.0117.2.313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  5.000,00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   5.000,00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02.19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FUNDO MUNICIPAL DO IDOSO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02.19.01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FUNDO MUNICIPAL DO IDOSO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08.241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ASSISTÊNCIA AO IDOSO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08.241.0037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Sistema de Garantia dos Direitos dos Idosos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08.241.0037.2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08.241.0037.2.064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Subvenções e auxílios a entidades registradas no Conselho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   3.421,60 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BE21C0" w:rsidTr="00BE21C0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3.3.50.43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SUBVENÇÕES SOCIAIS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 w:rsidP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 xml:space="preserve"> R$        3.421,60 </w:t>
            </w:r>
          </w:p>
        </w:tc>
      </w:tr>
      <w:tr w:rsidR="00BE21C0" w:rsidTr="00BE21C0">
        <w:trPr>
          <w:trHeight w:val="63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21C0" w:rsidRPr="00BE21C0" w:rsidRDefault="00BE21C0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1C0" w:rsidRPr="00BE21C0" w:rsidRDefault="00BE21C0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BE21C0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</w:tbl>
    <w:p w:rsidR="00BE21C0" w:rsidRDefault="00BE21C0" w:rsidP="00BE198F">
      <w:pPr>
        <w:tabs>
          <w:tab w:val="left" w:pos="2835"/>
        </w:tabs>
        <w:spacing w:before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extraordinário na Lei nº 9.138, de 29 de novembro de 2017 (Plano Plurianual – PPA), na Lei nº 9.645, de 16 de julho de 2019 (Lei de Diretrizes Orçamentárias – LDO)</w:t>
      </w:r>
      <w:bookmarkStart w:id="0" w:name="_GoBack"/>
      <w:bookmarkEnd w:id="0"/>
      <w:r>
        <w:rPr>
          <w:rFonts w:ascii="Calibri" w:hAnsi="Calibri" w:cs="Calibri"/>
          <w:bCs/>
          <w:sz w:val="24"/>
          <w:szCs w:val="24"/>
        </w:rPr>
        <w:t xml:space="preserve"> e na Lei nº 9.844, de 17 de dezembro de 2019 (Lei Orçamentária Anual – LOA).</w:t>
      </w:r>
    </w:p>
    <w:p w:rsidR="00BE21C0" w:rsidRDefault="00BE21C0" w:rsidP="00BE198F">
      <w:pPr>
        <w:spacing w:before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BE21C0" w:rsidP="00BE198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83D90">
        <w:rPr>
          <w:rFonts w:ascii="Calibri" w:hAnsi="Calibri" w:cs="Calibri"/>
          <w:sz w:val="24"/>
          <w:szCs w:val="24"/>
        </w:rPr>
        <w:t>2</w:t>
      </w:r>
      <w:r w:rsidR="00BD7828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1C6D7E" w:rsidRPr="00BE198F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E198F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E198F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198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198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198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198F"/>
    <w:rsid w:val="00BE21C0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735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2020-07-20T17:06:00Z</dcterms:modified>
</cp:coreProperties>
</file>