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prorrogação dos mandatos dos membros do Conselho Municipal de Desenvolvimento Econômico e Social.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CEC" w:rsidRDefault="00C71CEC" w:rsidP="00126850">
      <w:pPr>
        <w:spacing w:line="240" w:lineRule="auto"/>
      </w:pPr>
      <w:r>
        <w:separator/>
      </w:r>
    </w:p>
  </w:endnote>
  <w:endnote w:type="continuationSeparator" w:id="0">
    <w:p w:rsidR="00C71CEC" w:rsidRDefault="00C71CE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0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0D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CEC" w:rsidRDefault="00C71CEC" w:rsidP="00126850">
      <w:pPr>
        <w:spacing w:line="240" w:lineRule="auto"/>
      </w:pPr>
      <w:r>
        <w:separator/>
      </w:r>
    </w:p>
  </w:footnote>
  <w:footnote w:type="continuationSeparator" w:id="0">
    <w:p w:rsidR="00C71CEC" w:rsidRDefault="00C71CE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20D1"/>
    <w:rsid w:val="00C33F64"/>
    <w:rsid w:val="00C670FA"/>
    <w:rsid w:val="00C67C79"/>
    <w:rsid w:val="00C71281"/>
    <w:rsid w:val="00C71CEC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15C9-A5A2-48F0-B113-71AE3737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2020-07-17T17:39:00Z</dcterms:modified>
</cp:coreProperties>
</file>