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AUTÓGRAFO NÚMERO</w:t>
      </w:r>
      <w:r w:rsidR="00364D9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EB5478">
        <w:rPr>
          <w:rFonts w:ascii="Calibri" w:hAnsi="Calibri" w:cs="Calibri"/>
          <w:b/>
          <w:sz w:val="24"/>
          <w:szCs w:val="24"/>
        </w:rPr>
        <w:t>16</w:t>
      </w:r>
      <w:r w:rsidR="00162A5C">
        <w:rPr>
          <w:rFonts w:ascii="Calibri" w:hAnsi="Calibri" w:cs="Calibri"/>
          <w:b/>
          <w:sz w:val="24"/>
          <w:szCs w:val="24"/>
        </w:rPr>
        <w:t>5</w:t>
      </w:r>
      <w:bookmarkStart w:id="0" w:name="_GoBack"/>
      <w:bookmarkEnd w:id="0"/>
      <w:r w:rsidR="00364D92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1C6786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8305E5">
        <w:rPr>
          <w:rFonts w:ascii="Calibri" w:hAnsi="Calibri" w:cs="Calibri"/>
          <w:b/>
          <w:sz w:val="24"/>
          <w:szCs w:val="24"/>
        </w:rPr>
        <w:t>151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8305E5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8305E5">
        <w:rPr>
          <w:rFonts w:ascii="Calibri" w:hAnsi="Calibri" w:cs="Calibri"/>
          <w:sz w:val="22"/>
          <w:szCs w:val="22"/>
        </w:rPr>
        <w:t>Autoriza a doação onerosa de imóvel do Município a Robofer Comércio de Produtos Metálicos Ltda.,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305E5" w:rsidRDefault="008305E5" w:rsidP="008305E5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Art. 1º</w:t>
      </w:r>
      <w:r>
        <w:rPr>
          <w:rFonts w:ascii="Calibri" w:hAnsi="Calibri"/>
          <w:sz w:val="24"/>
          <w:szCs w:val="24"/>
        </w:rPr>
        <w:t xml:space="preserve"> Em conformidade com a Lei nº 9.768, de 23 de outubro de 2019, fica o município de Araraquara autorizado a alienar, mediante doação onerosa, a Robofer Comércio de Produtos Metálicos Ltda., sociedade empresária limitada inscrita no CNPJ sob o nº 68.061.613/0001-72, imóvel de sua propriedade objeto da matrícula nº 145.895, autuada no Livro nº 2 – Registro Geral do 1º Cartório de Registro de Imóveis da Comarca de Araraquara, integrante do guichê administrativo nº 005.767/2020 – processo nº 008.957/2009, em trâmite perante a Prefeitura do Município de Araraquara, em obediência ao disposto no art. 6º da Lei nº 9.218, de 14 de março de 2018. </w:t>
      </w:r>
    </w:p>
    <w:p w:rsidR="008305E5" w:rsidRDefault="008305E5" w:rsidP="008305E5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Art. 2º Deverão constar expressamente do instrumento da doação prevista no art. 1º desta lei as seguintes condições e cláusulas:</w:t>
      </w:r>
    </w:p>
    <w:p w:rsidR="008305E5" w:rsidRDefault="008305E5" w:rsidP="008305E5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 – a donatária deverá comprometer-se a manter a execução do empreendimento e da atividade econômica em conformidade com o projeto apresentado no bojo do Chamamento Público nº 01/2020, da Secretaria Municipal do Trabalho e do Desenvolvimento Econômico, bem como a cumprir os demais requisitos legais pertinentes, especialmente:</w:t>
      </w:r>
    </w:p>
    <w:p w:rsidR="008305E5" w:rsidRDefault="008305E5" w:rsidP="008305E5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a) os dispositivos da Lei nº 5.119, de 14 de dezembro de 1998, e da Lei nº 9.218, de 2018, aplicáveis; </w:t>
      </w:r>
    </w:p>
    <w:p w:rsidR="008305E5" w:rsidRDefault="008305E5" w:rsidP="008305E5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b) a manutenção de empregados, direta ou indiretamente, na quantidade mínima de 10 (dez) trabalhadores, devendo, no mínimo, 10% (dez por cento) do número total de empregados corresponder a jovens de 18 (dezoito) a 29 (vinte e nove) anos, em conformidade com a alínea “c” do inciso I do art. 5º da Lei nº 5.119, de 1998; </w:t>
      </w:r>
    </w:p>
    <w:p w:rsidR="008305E5" w:rsidRDefault="008305E5" w:rsidP="008305E5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c) a contratação e manutenção de, no mínimo, 1 (um) estagiário, com base na legislação em vigor, em conformidade com a alínea “d” do inciso I do art. 5º da Lei nº 5.119, de 1998; </w:t>
      </w:r>
    </w:p>
    <w:p w:rsidR="008305E5" w:rsidRDefault="008305E5" w:rsidP="008305E5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II – cláusula de retrocessão do imóvel, a ser aplicada na hipótese de descumprimento das obrigações previstas nesta lei ou em outras normas municipais aplicáveis, por meio da qual o imóvel reverterá ao patrimônio do Município doador, com todas as benfeitorias nele existentes, sem direito a qualquer indenização, independentemente de interpelação judicial ou extrajudicial;</w:t>
      </w:r>
    </w:p>
    <w:p w:rsidR="008305E5" w:rsidRDefault="008305E5" w:rsidP="008305E5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III – obrigação de que todos os tributos e contribuições federais, estaduais e municipais inerentes ao empreendimento sejam recolhidos no Município de Araraquara;</w:t>
      </w:r>
    </w:p>
    <w:p w:rsidR="008305E5" w:rsidRDefault="008305E5" w:rsidP="008305E5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IV – cláusula determinando que, em caso de recuperação judicial, falência, extinção ou liquidação da donatária, terá o Município direito de preferência em relação ao imóvel doado;</w:t>
      </w:r>
    </w:p>
    <w:p w:rsidR="008305E5" w:rsidRDefault="008305E5" w:rsidP="008305E5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V – cláusula determinando que a donatária não poderá, sem anuência do Município doador, alterar seus objetivos de exploração da atividade econômica, consoante no projeto individual apresentado no chamamento público;</w:t>
      </w:r>
    </w:p>
    <w:p w:rsidR="008305E5" w:rsidRDefault="008305E5" w:rsidP="008305E5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VI – cláusula impeditiva de modificações quanto à destinação do imóvel doado;</w:t>
      </w:r>
    </w:p>
    <w:p w:rsidR="008305E5" w:rsidRDefault="008305E5" w:rsidP="008305E5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VII – cláusula que determine a anuência do doador quando da cessão ou alienação do imóvel, ou de quaisquer dos atributos inerentes à sua propriedade, por parte da donatária;</w:t>
      </w:r>
    </w:p>
    <w:p w:rsidR="008305E5" w:rsidRDefault="008305E5" w:rsidP="008305E5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VIII – cláusula fixando que, em caso de hasta pública, o Município terá direito de preferência sobre o imóvel;</w:t>
      </w:r>
    </w:p>
    <w:p w:rsidR="008305E5" w:rsidRDefault="008305E5" w:rsidP="008305E5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IX – cláusula determinando que a donatária utilize totalmente a área doada, de acordo com os objetivos propostos;</w:t>
      </w:r>
    </w:p>
    <w:p w:rsidR="008305E5" w:rsidRDefault="008305E5" w:rsidP="008305E5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X – cláusula que disponha a impenhorabilidade do bem doado;</w:t>
      </w:r>
    </w:p>
    <w:p w:rsidR="008305E5" w:rsidRDefault="008305E5" w:rsidP="008305E5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XI – cláusula dispondo que a Secretaria Municipal do Trabalho e do Desenvolvimento Econômico poderá, a qualquer tempo, e com qualquer periodicidade, requerer à donatária a comprovação da continuidade das condições que a habilitaram ao recebimento do benefício; e</w:t>
      </w:r>
    </w:p>
    <w:p w:rsidR="008305E5" w:rsidRDefault="008305E5" w:rsidP="008305E5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XII – cláusula que estipule que a donatária deverá comprovar, anualmente, no prazo de até 30 (trinta) dias após o término do exercício financeiro, a continuidade da atividade econômica e o cumprimento dos encargos previstos no instrumento e que habilitaram a donatária ao recebimento do imóvel. </w:t>
      </w:r>
    </w:p>
    <w:p w:rsidR="008305E5" w:rsidRDefault="008305E5" w:rsidP="008305E5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Parágrafo único. Todas as custas, os tributos e os emolumentos devidos pela lavratura das escrituras, assim como seus registros no cartório competente, serão de exclusiva responsabilidade da donatária, inclusive o Imposto de Transmissão de Bens Imóveis (ITBI) devido em razão da doação.</w:t>
      </w:r>
    </w:p>
    <w:p w:rsidR="008305E5" w:rsidRDefault="008305E5" w:rsidP="008305E5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Art. 3º O não cumprimento das obrigações assumidas poderá determinar a cassação do benefício concedido, assim como a reversão do imóvel objeto da doação ao patrimônio municipal, com todas as benfeitorias nele existentes, sem direito a qualquer indenização, independentemente de interpelação judicial e extrajudicial.</w:t>
      </w:r>
    </w:p>
    <w:p w:rsidR="008305E5" w:rsidRDefault="008305E5" w:rsidP="008305E5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Art. 4º As despesas com a execução desta lei onerarão as dotações orçamentárias próprias, suplementadas se necessário.</w:t>
      </w:r>
    </w:p>
    <w:p w:rsidR="008305E5" w:rsidRDefault="008305E5" w:rsidP="008305E5">
      <w:pPr>
        <w:spacing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Art. 5º Esta lei entra em vigor na data de sua publicação.</w:t>
      </w:r>
    </w:p>
    <w:p w:rsidR="00162273" w:rsidRPr="008A09C8" w:rsidRDefault="002F5453" w:rsidP="008305E5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“PALACETE VEREADOR CARLOS ALBERTO MANÇO”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BD7828">
        <w:rPr>
          <w:rFonts w:ascii="Calibri" w:hAnsi="Calibri" w:cs="Calibri"/>
          <w:sz w:val="24"/>
          <w:szCs w:val="24"/>
        </w:rPr>
        <w:t>1</w:t>
      </w:r>
      <w:r w:rsidR="00150D05">
        <w:rPr>
          <w:rFonts w:ascii="Calibri" w:hAnsi="Calibri" w:cs="Calibri"/>
          <w:sz w:val="24"/>
          <w:szCs w:val="24"/>
        </w:rPr>
        <w:t>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9C3C85">
        <w:rPr>
          <w:rFonts w:ascii="Calibri" w:hAnsi="Calibri" w:cs="Calibri"/>
          <w:sz w:val="24"/>
          <w:szCs w:val="24"/>
        </w:rPr>
        <w:t>ju</w:t>
      </w:r>
      <w:r w:rsidR="00150D05">
        <w:rPr>
          <w:rFonts w:ascii="Calibri" w:hAnsi="Calibri" w:cs="Calibri"/>
          <w:sz w:val="24"/>
          <w:szCs w:val="24"/>
        </w:rPr>
        <w:t>l</w:t>
      </w:r>
      <w:r w:rsidR="009C3C85">
        <w:rPr>
          <w:rFonts w:ascii="Calibri" w:hAnsi="Calibri" w:cs="Calibri"/>
          <w:sz w:val="24"/>
          <w:szCs w:val="24"/>
        </w:rPr>
        <w:t>h</w:t>
      </w:r>
      <w:r w:rsidR="003250AE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E3254" w:rsidRDefault="00F91475" w:rsidP="003476B5">
    <w:pPr>
      <w:pStyle w:val="Rodap"/>
      <w:jc w:val="right"/>
      <w:rPr>
        <w:rFonts w:asciiTheme="minorHAnsi" w:hAnsiTheme="minorHAnsi" w:cstheme="minorHAnsi"/>
        <w:sz w:val="20"/>
      </w:rPr>
    </w:pPr>
    <w:r w:rsidRPr="003E3254">
      <w:rPr>
        <w:rFonts w:asciiTheme="minorHAnsi" w:hAnsiTheme="minorHAnsi" w:cstheme="minorHAnsi"/>
        <w:sz w:val="20"/>
      </w:rPr>
      <w:t xml:space="preserve">Página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PAGE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162A5C">
      <w:rPr>
        <w:rFonts w:asciiTheme="minorHAnsi" w:hAnsiTheme="minorHAnsi" w:cstheme="minorHAnsi"/>
        <w:b/>
        <w:bCs/>
        <w:noProof/>
        <w:sz w:val="20"/>
      </w:rPr>
      <w:t>1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  <w:r w:rsidRPr="003E3254">
      <w:rPr>
        <w:rFonts w:asciiTheme="minorHAnsi" w:hAnsiTheme="minorHAnsi" w:cstheme="minorHAnsi"/>
        <w:sz w:val="20"/>
      </w:rPr>
      <w:t xml:space="preserve"> de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NUMPAGES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162A5C">
      <w:rPr>
        <w:rFonts w:asciiTheme="minorHAnsi" w:hAnsiTheme="minorHAnsi" w:cstheme="minorHAnsi"/>
        <w:b/>
        <w:bCs/>
        <w:noProof/>
        <w:sz w:val="20"/>
      </w:rPr>
      <w:t>2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62A5C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62A5C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62A5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06BD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0D05"/>
    <w:rsid w:val="00152AE1"/>
    <w:rsid w:val="00152CD0"/>
    <w:rsid w:val="00153948"/>
    <w:rsid w:val="00161181"/>
    <w:rsid w:val="00162273"/>
    <w:rsid w:val="00162A5C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B750D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250AE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6D5B"/>
    <w:rsid w:val="00397C24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945B7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493E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46863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E11FE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305E5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2451"/>
    <w:rsid w:val="009637B8"/>
    <w:rsid w:val="00980AC8"/>
    <w:rsid w:val="00980C8F"/>
    <w:rsid w:val="00990364"/>
    <w:rsid w:val="009919A3"/>
    <w:rsid w:val="009A7F37"/>
    <w:rsid w:val="009C2948"/>
    <w:rsid w:val="009C3C85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0E39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187F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D7828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D7A3A"/>
    <w:rsid w:val="00CE3A03"/>
    <w:rsid w:val="00CE44A4"/>
    <w:rsid w:val="00D01586"/>
    <w:rsid w:val="00D02260"/>
    <w:rsid w:val="00D101D7"/>
    <w:rsid w:val="00D13DD8"/>
    <w:rsid w:val="00D23298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B5478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EF4204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4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749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285</cp:revision>
  <cp:lastPrinted>2018-06-26T22:41:00Z</cp:lastPrinted>
  <dcterms:created xsi:type="dcterms:W3CDTF">2016-08-16T19:55:00Z</dcterms:created>
  <dcterms:modified xsi:type="dcterms:W3CDTF">2020-07-14T18:40:00Z</dcterms:modified>
</cp:coreProperties>
</file>