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R$ 218.211.38 (duzentos e dezoito mil, duzentos e onze reais e trinta e oito centavos), com desembolso pelo Governo Municipal, Estadual e Federal, para atender a despesas com acolhimento judicial para idosos e subvenção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31" w:rsidRDefault="00C70731" w:rsidP="00126850">
      <w:pPr>
        <w:spacing w:line="240" w:lineRule="auto"/>
      </w:pPr>
      <w:r>
        <w:separator/>
      </w:r>
    </w:p>
  </w:endnote>
  <w:endnote w:type="continuationSeparator" w:id="0">
    <w:p w:rsidR="00C70731" w:rsidRDefault="00C7073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455A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455A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31" w:rsidRDefault="00C70731" w:rsidP="00126850">
      <w:pPr>
        <w:spacing w:line="240" w:lineRule="auto"/>
      </w:pPr>
      <w:r>
        <w:separator/>
      </w:r>
    </w:p>
  </w:footnote>
  <w:footnote w:type="continuationSeparator" w:id="0">
    <w:p w:rsidR="00C70731" w:rsidRDefault="00C7073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55AF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0731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2E70-2782-4939-B1DD-0DAF5201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2020-07-10T18:57:00Z</dcterms:modified>
</cp:coreProperties>
</file>