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AUTÓGRAFO NÚMERO</w:t>
      </w:r>
      <w:r w:rsidR="00364D9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="00AA451D">
        <w:rPr>
          <w:rFonts w:ascii="Calibri" w:hAnsi="Calibri" w:cs="Calibri"/>
          <w:b/>
          <w:sz w:val="24"/>
          <w:szCs w:val="24"/>
        </w:rPr>
        <w:t>157</w:t>
      </w:r>
      <w:r w:rsidR="00364D92"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1C6786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PROJETO DE LEI</w:t>
      </w:r>
      <w:r w:rsidR="0076792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Pr="00F91475">
        <w:rPr>
          <w:rFonts w:ascii="Calibri" w:hAnsi="Calibri" w:cs="Calibri"/>
          <w:b/>
          <w:sz w:val="24"/>
          <w:szCs w:val="24"/>
        </w:rPr>
        <w:t xml:space="preserve">NÚMERO </w:t>
      </w:r>
      <w:r w:rsidR="00AA451D">
        <w:rPr>
          <w:rFonts w:ascii="Calibri" w:hAnsi="Calibri" w:cs="Calibri"/>
          <w:b/>
          <w:sz w:val="24"/>
          <w:szCs w:val="24"/>
        </w:rPr>
        <w:t>147</w:t>
      </w:r>
      <w:r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AA451D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AA451D">
        <w:rPr>
          <w:rFonts w:ascii="Calibri" w:hAnsi="Calibri" w:cs="Calibri"/>
          <w:sz w:val="22"/>
          <w:szCs w:val="22"/>
        </w:rPr>
        <w:t>Altera a Lei nº 7.405, de 3 de fevereiro de 2011, modificando a composição da Comissão de Avaliação, Seleção e Fiscalização dos projetos a serem apoiados com recursos do Fundo Municipal de Cultura de Araraquara,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AA451D" w:rsidRPr="00AA451D" w:rsidRDefault="00AA451D" w:rsidP="00AA451D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AA451D">
        <w:rPr>
          <w:rFonts w:ascii="Calibri" w:hAnsi="Calibri"/>
          <w:bCs/>
          <w:sz w:val="24"/>
          <w:szCs w:val="24"/>
        </w:rPr>
        <w:t>Art. 1º A Lei nº 7.405, de 3 de fevereiro de 2011, passa a vigorar com as seguintes alterações:</w:t>
      </w:r>
    </w:p>
    <w:p w:rsidR="00AA451D" w:rsidRPr="00AA451D" w:rsidRDefault="00AA451D" w:rsidP="00AA451D">
      <w:pPr>
        <w:spacing w:before="120" w:after="120"/>
        <w:ind w:left="2127"/>
        <w:jc w:val="both"/>
        <w:rPr>
          <w:rFonts w:ascii="Calibri" w:hAnsi="Calibri"/>
          <w:bCs/>
          <w:sz w:val="22"/>
          <w:szCs w:val="24"/>
        </w:rPr>
      </w:pPr>
      <w:r w:rsidRPr="00AA451D">
        <w:rPr>
          <w:rFonts w:ascii="Calibri" w:hAnsi="Calibri"/>
          <w:bCs/>
          <w:sz w:val="22"/>
          <w:szCs w:val="24"/>
        </w:rPr>
        <w:t>“Art. 3º As disponibilidades do FUNDOARA serão aplicadas em programas, projetos e ações que visem fomentar e estimular a produção cultural abrangendo a pluralidade das diferentes linguagens artísticas, tais como:</w:t>
      </w:r>
    </w:p>
    <w:p w:rsidR="00AA451D" w:rsidRPr="00AA451D" w:rsidRDefault="00AA451D" w:rsidP="00AA451D">
      <w:pPr>
        <w:spacing w:before="120" w:after="120"/>
        <w:ind w:left="2127"/>
        <w:jc w:val="both"/>
        <w:rPr>
          <w:rFonts w:ascii="Calibri" w:hAnsi="Calibri"/>
          <w:bCs/>
          <w:sz w:val="22"/>
          <w:szCs w:val="24"/>
        </w:rPr>
      </w:pPr>
      <w:r w:rsidRPr="00AA451D">
        <w:rPr>
          <w:rFonts w:ascii="Calibri" w:hAnsi="Calibri"/>
          <w:bCs/>
          <w:sz w:val="22"/>
          <w:szCs w:val="24"/>
        </w:rPr>
        <w:t>I – artes visuais;</w:t>
      </w:r>
    </w:p>
    <w:p w:rsidR="00AA451D" w:rsidRPr="00AA451D" w:rsidRDefault="00AA451D" w:rsidP="00AA451D">
      <w:pPr>
        <w:spacing w:before="120" w:after="120"/>
        <w:ind w:left="2127"/>
        <w:jc w:val="both"/>
        <w:rPr>
          <w:rFonts w:ascii="Calibri" w:hAnsi="Calibri"/>
          <w:bCs/>
          <w:sz w:val="22"/>
          <w:szCs w:val="24"/>
        </w:rPr>
      </w:pPr>
      <w:r w:rsidRPr="00AA451D">
        <w:rPr>
          <w:rFonts w:ascii="Calibri" w:hAnsi="Calibri"/>
          <w:bCs/>
          <w:sz w:val="22"/>
          <w:szCs w:val="24"/>
        </w:rPr>
        <w:t>II – dança;</w:t>
      </w:r>
    </w:p>
    <w:p w:rsidR="00AA451D" w:rsidRPr="00AA451D" w:rsidRDefault="00AA451D" w:rsidP="00AA451D">
      <w:pPr>
        <w:spacing w:before="120" w:after="120"/>
        <w:ind w:left="2127"/>
        <w:jc w:val="both"/>
        <w:rPr>
          <w:rFonts w:ascii="Calibri" w:hAnsi="Calibri"/>
          <w:bCs/>
          <w:sz w:val="22"/>
          <w:szCs w:val="24"/>
        </w:rPr>
      </w:pPr>
      <w:r w:rsidRPr="00AA451D">
        <w:rPr>
          <w:rFonts w:ascii="Calibri" w:hAnsi="Calibri"/>
          <w:bCs/>
          <w:sz w:val="22"/>
          <w:szCs w:val="24"/>
        </w:rPr>
        <w:t>III – teatro;</w:t>
      </w:r>
    </w:p>
    <w:p w:rsidR="00AA451D" w:rsidRPr="00AA451D" w:rsidRDefault="00AA451D" w:rsidP="00AA451D">
      <w:pPr>
        <w:spacing w:before="120" w:after="120"/>
        <w:ind w:left="2127"/>
        <w:jc w:val="both"/>
        <w:rPr>
          <w:rFonts w:ascii="Calibri" w:hAnsi="Calibri"/>
          <w:bCs/>
          <w:sz w:val="22"/>
          <w:szCs w:val="24"/>
        </w:rPr>
      </w:pPr>
      <w:r w:rsidRPr="00AA451D">
        <w:rPr>
          <w:rFonts w:ascii="Calibri" w:hAnsi="Calibri"/>
          <w:bCs/>
          <w:sz w:val="22"/>
          <w:szCs w:val="24"/>
        </w:rPr>
        <w:t>IV – circo;</w:t>
      </w:r>
    </w:p>
    <w:p w:rsidR="00AA451D" w:rsidRPr="00AA451D" w:rsidRDefault="00AA451D" w:rsidP="00AA451D">
      <w:pPr>
        <w:spacing w:before="120" w:after="120"/>
        <w:ind w:left="2127"/>
        <w:jc w:val="both"/>
        <w:rPr>
          <w:rFonts w:ascii="Calibri" w:hAnsi="Calibri"/>
          <w:bCs/>
          <w:sz w:val="22"/>
          <w:szCs w:val="24"/>
        </w:rPr>
      </w:pPr>
      <w:r w:rsidRPr="00AA451D">
        <w:rPr>
          <w:rFonts w:ascii="Calibri" w:hAnsi="Calibri"/>
          <w:bCs/>
          <w:sz w:val="22"/>
          <w:szCs w:val="24"/>
        </w:rPr>
        <w:t>V – audiovisual;</w:t>
      </w:r>
    </w:p>
    <w:p w:rsidR="00AA451D" w:rsidRPr="00AA451D" w:rsidRDefault="00AA451D" w:rsidP="00AA451D">
      <w:pPr>
        <w:spacing w:before="120" w:after="120"/>
        <w:ind w:left="2127"/>
        <w:jc w:val="both"/>
        <w:rPr>
          <w:rFonts w:ascii="Calibri" w:hAnsi="Calibri"/>
          <w:bCs/>
          <w:sz w:val="22"/>
          <w:szCs w:val="24"/>
        </w:rPr>
      </w:pPr>
      <w:r w:rsidRPr="00AA451D">
        <w:rPr>
          <w:rFonts w:ascii="Calibri" w:hAnsi="Calibri"/>
          <w:bCs/>
          <w:sz w:val="22"/>
          <w:szCs w:val="24"/>
        </w:rPr>
        <w:t>VI – cultura popular;</w:t>
      </w:r>
    </w:p>
    <w:p w:rsidR="00AA451D" w:rsidRPr="00AA451D" w:rsidRDefault="00AA451D" w:rsidP="00AA451D">
      <w:pPr>
        <w:spacing w:before="120" w:after="120"/>
        <w:ind w:left="2127"/>
        <w:jc w:val="both"/>
        <w:rPr>
          <w:rFonts w:ascii="Calibri" w:hAnsi="Calibri"/>
          <w:bCs/>
          <w:sz w:val="22"/>
          <w:szCs w:val="24"/>
        </w:rPr>
      </w:pPr>
      <w:r w:rsidRPr="00AA451D">
        <w:rPr>
          <w:rFonts w:ascii="Calibri" w:hAnsi="Calibri"/>
          <w:bCs/>
          <w:sz w:val="22"/>
          <w:szCs w:val="24"/>
        </w:rPr>
        <w:t>VII – literatura;</w:t>
      </w:r>
    </w:p>
    <w:p w:rsidR="00AA451D" w:rsidRPr="00AA451D" w:rsidRDefault="00AA451D" w:rsidP="00AA451D">
      <w:pPr>
        <w:spacing w:before="120" w:after="120"/>
        <w:ind w:left="2127"/>
        <w:jc w:val="both"/>
        <w:rPr>
          <w:rFonts w:ascii="Calibri" w:hAnsi="Calibri"/>
          <w:bCs/>
          <w:sz w:val="22"/>
          <w:szCs w:val="24"/>
        </w:rPr>
      </w:pPr>
      <w:r w:rsidRPr="00AA451D">
        <w:rPr>
          <w:rFonts w:ascii="Calibri" w:hAnsi="Calibri"/>
          <w:bCs/>
          <w:sz w:val="22"/>
          <w:szCs w:val="24"/>
        </w:rPr>
        <w:t>VIII – música;</w:t>
      </w:r>
    </w:p>
    <w:p w:rsidR="00AA451D" w:rsidRPr="00AA451D" w:rsidRDefault="00AA451D" w:rsidP="00AA451D">
      <w:pPr>
        <w:spacing w:before="120" w:after="120"/>
        <w:ind w:left="2127"/>
        <w:jc w:val="both"/>
        <w:rPr>
          <w:rFonts w:ascii="Calibri" w:hAnsi="Calibri"/>
          <w:bCs/>
          <w:sz w:val="22"/>
          <w:szCs w:val="24"/>
        </w:rPr>
      </w:pPr>
      <w:r w:rsidRPr="00AA451D">
        <w:rPr>
          <w:rFonts w:ascii="Calibri" w:hAnsi="Calibri"/>
          <w:bCs/>
          <w:sz w:val="22"/>
          <w:szCs w:val="24"/>
        </w:rPr>
        <w:t>IX – programas de rádio e de televisão com finalidades cultural; e</w:t>
      </w:r>
    </w:p>
    <w:p w:rsidR="00AA451D" w:rsidRPr="00AA451D" w:rsidRDefault="00AA451D" w:rsidP="00AA451D">
      <w:pPr>
        <w:spacing w:before="120" w:after="120"/>
        <w:ind w:left="2127"/>
        <w:jc w:val="both"/>
        <w:rPr>
          <w:rFonts w:ascii="Calibri" w:hAnsi="Calibri"/>
          <w:bCs/>
          <w:sz w:val="22"/>
          <w:szCs w:val="24"/>
        </w:rPr>
      </w:pPr>
      <w:r w:rsidRPr="00AA451D">
        <w:rPr>
          <w:rFonts w:ascii="Calibri" w:hAnsi="Calibri"/>
          <w:bCs/>
          <w:sz w:val="22"/>
          <w:szCs w:val="24"/>
        </w:rPr>
        <w:t>X – patrimônio cultural material e imaterial.</w:t>
      </w:r>
    </w:p>
    <w:p w:rsidR="00AA451D" w:rsidRPr="00AA451D" w:rsidRDefault="00AA451D" w:rsidP="00AA451D">
      <w:pPr>
        <w:spacing w:before="120" w:after="120"/>
        <w:ind w:left="2127"/>
        <w:jc w:val="both"/>
        <w:rPr>
          <w:rFonts w:ascii="Calibri" w:hAnsi="Calibri"/>
          <w:bCs/>
          <w:sz w:val="22"/>
          <w:szCs w:val="24"/>
        </w:rPr>
      </w:pPr>
      <w:r w:rsidRPr="00AA451D">
        <w:rPr>
          <w:rFonts w:ascii="Calibri" w:hAnsi="Calibri"/>
          <w:bCs/>
          <w:sz w:val="22"/>
          <w:szCs w:val="24"/>
        </w:rPr>
        <w:t>Parágrafo único.  A critério da Comissão de que trata o art. 6º desta lei, poderão ser contemplados outros segmentos culturais.</w:t>
      </w:r>
    </w:p>
    <w:p w:rsidR="00AA451D" w:rsidRPr="00AA451D" w:rsidRDefault="00AA451D" w:rsidP="00AA451D">
      <w:pPr>
        <w:spacing w:before="120" w:after="120"/>
        <w:ind w:left="2127"/>
        <w:jc w:val="both"/>
        <w:rPr>
          <w:rFonts w:ascii="Calibri" w:hAnsi="Calibri"/>
          <w:bCs/>
          <w:sz w:val="22"/>
          <w:szCs w:val="24"/>
        </w:rPr>
      </w:pPr>
      <w:r w:rsidRPr="00AA451D">
        <w:rPr>
          <w:rFonts w:ascii="Calibri" w:hAnsi="Calibri"/>
          <w:bCs/>
          <w:sz w:val="22"/>
          <w:szCs w:val="24"/>
        </w:rPr>
        <w:t>Art. 4º .................................................................................................................</w:t>
      </w:r>
    </w:p>
    <w:p w:rsidR="00AA451D" w:rsidRPr="00AA451D" w:rsidRDefault="00AA451D" w:rsidP="00AA451D">
      <w:pPr>
        <w:spacing w:before="120" w:after="120"/>
        <w:ind w:left="2127"/>
        <w:jc w:val="both"/>
        <w:rPr>
          <w:rFonts w:ascii="Calibri" w:hAnsi="Calibri"/>
          <w:bCs/>
          <w:sz w:val="22"/>
          <w:szCs w:val="24"/>
        </w:rPr>
      </w:pPr>
      <w:r w:rsidRPr="00AA451D">
        <w:rPr>
          <w:rFonts w:ascii="Calibri" w:hAnsi="Calibri"/>
          <w:bCs/>
          <w:sz w:val="22"/>
          <w:szCs w:val="24"/>
        </w:rPr>
        <w:t>Parágrafo único.  À Comissão de que trata o art. 6º desta lei fica reservado o direito de realizar supressão de despesas consideradas de menor relevância, contanto que não inviabilize a execução do projeto.</w:t>
      </w:r>
    </w:p>
    <w:p w:rsidR="00AA451D" w:rsidRPr="00AA451D" w:rsidRDefault="00AA451D" w:rsidP="00AA451D">
      <w:pPr>
        <w:spacing w:before="120" w:after="120"/>
        <w:ind w:left="2127"/>
        <w:jc w:val="both"/>
        <w:rPr>
          <w:rFonts w:ascii="Calibri" w:hAnsi="Calibri"/>
          <w:bCs/>
          <w:sz w:val="22"/>
          <w:szCs w:val="24"/>
        </w:rPr>
      </w:pPr>
      <w:r w:rsidRPr="00AA451D">
        <w:rPr>
          <w:rFonts w:ascii="Calibri" w:hAnsi="Calibri"/>
          <w:bCs/>
          <w:sz w:val="22"/>
          <w:szCs w:val="24"/>
        </w:rPr>
        <w:t>.............................................................................................................................</w:t>
      </w:r>
    </w:p>
    <w:p w:rsidR="00AA451D" w:rsidRPr="00AA451D" w:rsidRDefault="00AA451D" w:rsidP="00AA451D">
      <w:pPr>
        <w:spacing w:before="120" w:after="120"/>
        <w:ind w:left="2127"/>
        <w:jc w:val="both"/>
        <w:rPr>
          <w:rFonts w:ascii="Calibri" w:hAnsi="Calibri"/>
          <w:bCs/>
          <w:sz w:val="22"/>
          <w:szCs w:val="24"/>
        </w:rPr>
      </w:pPr>
      <w:r w:rsidRPr="00AA451D">
        <w:rPr>
          <w:rFonts w:ascii="Calibri" w:hAnsi="Calibri"/>
          <w:bCs/>
          <w:sz w:val="22"/>
          <w:szCs w:val="24"/>
        </w:rPr>
        <w:t>Art. 6º A avaliação, seleção e fiscalização dos projetos a serem apoiados com recursos do FUNDOAR caberá a Comissão de Seleção e Avaliação de Projetos, composta por:</w:t>
      </w:r>
    </w:p>
    <w:p w:rsidR="00AA451D" w:rsidRPr="00AA451D" w:rsidRDefault="00AA451D" w:rsidP="00AA451D">
      <w:pPr>
        <w:spacing w:before="120" w:after="120"/>
        <w:ind w:left="2127"/>
        <w:jc w:val="both"/>
        <w:rPr>
          <w:rFonts w:ascii="Calibri" w:hAnsi="Calibri"/>
          <w:bCs/>
          <w:sz w:val="22"/>
          <w:szCs w:val="24"/>
        </w:rPr>
      </w:pPr>
      <w:r w:rsidRPr="00AA451D">
        <w:rPr>
          <w:rFonts w:ascii="Calibri" w:hAnsi="Calibri"/>
          <w:bCs/>
          <w:sz w:val="22"/>
          <w:szCs w:val="24"/>
        </w:rPr>
        <w:t>I – 1 (um) representante da Secretaria Municipal de Cultura, a quem competirá a Presidência da Comissão;</w:t>
      </w:r>
    </w:p>
    <w:p w:rsidR="00AA451D" w:rsidRPr="00AA451D" w:rsidRDefault="00AA451D" w:rsidP="00AA451D">
      <w:pPr>
        <w:spacing w:before="120" w:after="120"/>
        <w:ind w:left="2127"/>
        <w:jc w:val="both"/>
        <w:rPr>
          <w:rFonts w:ascii="Calibri" w:hAnsi="Calibri"/>
          <w:bCs/>
          <w:sz w:val="22"/>
          <w:szCs w:val="24"/>
        </w:rPr>
      </w:pPr>
      <w:r w:rsidRPr="00AA451D">
        <w:rPr>
          <w:rFonts w:ascii="Calibri" w:hAnsi="Calibri"/>
          <w:bCs/>
          <w:sz w:val="22"/>
          <w:szCs w:val="24"/>
        </w:rPr>
        <w:t>II – 1 (um) representante da Secretaria Municipal de Gestão e Finanças;</w:t>
      </w:r>
    </w:p>
    <w:p w:rsidR="00AA451D" w:rsidRPr="00AA451D" w:rsidRDefault="00AA451D" w:rsidP="00AA451D">
      <w:pPr>
        <w:spacing w:before="120" w:after="120"/>
        <w:ind w:left="2127"/>
        <w:jc w:val="both"/>
        <w:rPr>
          <w:rFonts w:ascii="Calibri" w:hAnsi="Calibri"/>
          <w:bCs/>
          <w:sz w:val="22"/>
          <w:szCs w:val="24"/>
        </w:rPr>
      </w:pPr>
      <w:r w:rsidRPr="00AA451D">
        <w:rPr>
          <w:rFonts w:ascii="Calibri" w:hAnsi="Calibri"/>
          <w:bCs/>
          <w:sz w:val="22"/>
          <w:szCs w:val="24"/>
        </w:rPr>
        <w:t>III – 1 (um) representante da Secretaria Municipal de Planejamento e Participação Popular;</w:t>
      </w:r>
    </w:p>
    <w:p w:rsidR="00AA451D" w:rsidRPr="00AA451D" w:rsidRDefault="00AA451D" w:rsidP="00AA451D">
      <w:pPr>
        <w:spacing w:before="120" w:after="120"/>
        <w:ind w:left="2127"/>
        <w:jc w:val="both"/>
        <w:rPr>
          <w:rFonts w:ascii="Calibri" w:hAnsi="Calibri"/>
          <w:bCs/>
          <w:sz w:val="22"/>
          <w:szCs w:val="24"/>
        </w:rPr>
      </w:pPr>
      <w:r w:rsidRPr="00AA451D">
        <w:rPr>
          <w:rFonts w:ascii="Calibri" w:hAnsi="Calibri"/>
          <w:bCs/>
          <w:sz w:val="22"/>
          <w:szCs w:val="24"/>
        </w:rPr>
        <w:lastRenderedPageBreak/>
        <w:t>IV – 1 (um) representante da Fundação de Arte e Cultura do Município de Araraquara (FUNDART); e</w:t>
      </w:r>
    </w:p>
    <w:p w:rsidR="00AA451D" w:rsidRPr="00AA451D" w:rsidRDefault="00AA451D" w:rsidP="00AA451D">
      <w:pPr>
        <w:spacing w:before="120" w:after="120"/>
        <w:ind w:left="2127"/>
        <w:jc w:val="both"/>
        <w:rPr>
          <w:rFonts w:ascii="Calibri" w:hAnsi="Calibri"/>
          <w:bCs/>
          <w:sz w:val="22"/>
          <w:szCs w:val="24"/>
        </w:rPr>
      </w:pPr>
      <w:r w:rsidRPr="00AA451D">
        <w:rPr>
          <w:rFonts w:ascii="Calibri" w:hAnsi="Calibri"/>
          <w:bCs/>
          <w:sz w:val="22"/>
          <w:szCs w:val="24"/>
        </w:rPr>
        <w:t>V – 4 (quatro) representantes do Conselho Municipal de Cultura de Araraquara – CMCA, todos oriundos da sociedade civil.</w:t>
      </w:r>
    </w:p>
    <w:p w:rsidR="00AA451D" w:rsidRPr="00AA451D" w:rsidRDefault="00AA451D" w:rsidP="00AA451D">
      <w:pPr>
        <w:spacing w:before="120" w:after="120"/>
        <w:ind w:left="2127"/>
        <w:jc w:val="both"/>
        <w:rPr>
          <w:rFonts w:ascii="Calibri" w:hAnsi="Calibri"/>
          <w:bCs/>
          <w:sz w:val="22"/>
          <w:szCs w:val="24"/>
        </w:rPr>
      </w:pPr>
      <w:r w:rsidRPr="00AA451D">
        <w:rPr>
          <w:rFonts w:ascii="Calibri" w:hAnsi="Calibri"/>
          <w:bCs/>
          <w:sz w:val="22"/>
          <w:szCs w:val="24"/>
        </w:rPr>
        <w:t xml:space="preserve">Parágrafo único. A designação de cada um dos integrantes da Comissão de Seleção e Avaliação de Projetos deverá igualmente indicar um suplente para cada uma das cadeiras. </w:t>
      </w:r>
    </w:p>
    <w:p w:rsidR="00AA451D" w:rsidRPr="00AA451D" w:rsidRDefault="00AA451D" w:rsidP="00AA451D">
      <w:pPr>
        <w:spacing w:before="120" w:after="120"/>
        <w:ind w:left="2127"/>
        <w:jc w:val="center"/>
        <w:rPr>
          <w:rFonts w:ascii="Calibri" w:hAnsi="Calibri"/>
          <w:bCs/>
          <w:sz w:val="22"/>
          <w:szCs w:val="24"/>
        </w:rPr>
      </w:pPr>
      <w:r w:rsidRPr="00AA451D">
        <w:rPr>
          <w:rFonts w:ascii="Calibri" w:hAnsi="Calibri"/>
          <w:bCs/>
          <w:sz w:val="22"/>
          <w:szCs w:val="24"/>
        </w:rPr>
        <w:t>Seção II</w:t>
      </w:r>
    </w:p>
    <w:p w:rsidR="00AA451D" w:rsidRPr="00AA451D" w:rsidRDefault="00AA451D" w:rsidP="00AA451D">
      <w:pPr>
        <w:spacing w:before="120" w:after="120"/>
        <w:ind w:left="2127"/>
        <w:jc w:val="center"/>
        <w:rPr>
          <w:rFonts w:ascii="Calibri" w:hAnsi="Calibri"/>
          <w:bCs/>
          <w:sz w:val="22"/>
          <w:szCs w:val="24"/>
        </w:rPr>
      </w:pPr>
      <w:r w:rsidRPr="00AA451D">
        <w:rPr>
          <w:rFonts w:ascii="Calibri" w:hAnsi="Calibri"/>
          <w:bCs/>
          <w:sz w:val="22"/>
          <w:szCs w:val="24"/>
        </w:rPr>
        <w:t>Da Apreciação de Projetos</w:t>
      </w:r>
    </w:p>
    <w:p w:rsidR="00AA451D" w:rsidRPr="00AA451D" w:rsidRDefault="00AA451D" w:rsidP="00AA451D">
      <w:pPr>
        <w:spacing w:before="120" w:after="120"/>
        <w:ind w:left="2127"/>
        <w:rPr>
          <w:rFonts w:ascii="Calibri" w:hAnsi="Calibri"/>
          <w:bCs/>
          <w:sz w:val="22"/>
          <w:szCs w:val="24"/>
        </w:rPr>
      </w:pPr>
      <w:r w:rsidRPr="00AA451D">
        <w:rPr>
          <w:rFonts w:ascii="Calibri" w:hAnsi="Calibri"/>
          <w:bCs/>
          <w:sz w:val="22"/>
          <w:szCs w:val="24"/>
        </w:rPr>
        <w:t>Art. 7º .................................................................................................................</w:t>
      </w:r>
    </w:p>
    <w:p w:rsidR="00AA451D" w:rsidRPr="00AA451D" w:rsidRDefault="00AA451D" w:rsidP="00AA451D">
      <w:pPr>
        <w:spacing w:before="120" w:after="120"/>
        <w:ind w:left="2127"/>
        <w:jc w:val="both"/>
        <w:rPr>
          <w:rFonts w:ascii="Calibri" w:hAnsi="Calibri"/>
          <w:bCs/>
          <w:sz w:val="22"/>
          <w:szCs w:val="24"/>
        </w:rPr>
      </w:pPr>
      <w:r w:rsidRPr="00AA451D">
        <w:rPr>
          <w:rFonts w:ascii="Calibri" w:hAnsi="Calibri"/>
          <w:bCs/>
          <w:sz w:val="22"/>
          <w:szCs w:val="24"/>
        </w:rPr>
        <w:t>.............................................................................................................................</w:t>
      </w:r>
    </w:p>
    <w:p w:rsidR="00AA451D" w:rsidRPr="00AA451D" w:rsidRDefault="00AA451D" w:rsidP="00AA451D">
      <w:pPr>
        <w:spacing w:before="120" w:after="120"/>
        <w:ind w:left="2127"/>
        <w:jc w:val="both"/>
        <w:rPr>
          <w:rFonts w:ascii="Calibri" w:hAnsi="Calibri"/>
          <w:bCs/>
          <w:spacing w:val="-2"/>
          <w:sz w:val="22"/>
          <w:szCs w:val="24"/>
        </w:rPr>
      </w:pPr>
      <w:r w:rsidRPr="00AA451D">
        <w:rPr>
          <w:rFonts w:ascii="Calibri" w:hAnsi="Calibri"/>
          <w:bCs/>
          <w:sz w:val="22"/>
          <w:szCs w:val="24"/>
        </w:rPr>
        <w:t>§ 6º À seleção de projetos aplica-se, subsidiariamente, o disposto no Capítulo VI da Lei nº 9.988, de 25 de junho de 2020, competindo à Comissão de Seleção e Avaliação de Projetos definir o valor máximo de apoio a ser conferido a cada projeto.</w:t>
      </w:r>
      <w:r w:rsidRPr="00AA451D">
        <w:rPr>
          <w:rFonts w:ascii="Calibri" w:hAnsi="Calibri"/>
          <w:bCs/>
          <w:spacing w:val="-2"/>
          <w:sz w:val="22"/>
          <w:szCs w:val="24"/>
        </w:rPr>
        <w:t>” (NR)</w:t>
      </w:r>
      <w:r w:rsidRPr="00AA451D">
        <w:rPr>
          <w:rFonts w:ascii="Calibri" w:hAnsi="Calibri"/>
          <w:spacing w:val="-2"/>
          <w:sz w:val="22"/>
          <w:szCs w:val="24"/>
        </w:rPr>
        <w:t xml:space="preserve"> </w:t>
      </w:r>
    </w:p>
    <w:p w:rsidR="00D6359B" w:rsidRDefault="00AA451D" w:rsidP="00AA451D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A451D">
        <w:rPr>
          <w:rFonts w:ascii="Calibri" w:hAnsi="Calibri" w:cs="Calibri"/>
          <w:bCs/>
          <w:sz w:val="24"/>
          <w:szCs w:val="24"/>
        </w:rPr>
        <w:t xml:space="preserve">Art. 2º </w:t>
      </w:r>
      <w:r w:rsidRPr="00AA451D">
        <w:rPr>
          <w:rFonts w:ascii="Calibri" w:hAnsi="Calibri" w:cs="Calibri"/>
          <w:sz w:val="24"/>
          <w:szCs w:val="24"/>
        </w:rPr>
        <w:t>Esta lei entra em vigor na data de sua publicação.</w:t>
      </w:r>
    </w:p>
    <w:p w:rsidR="00162273" w:rsidRPr="008A09C8" w:rsidRDefault="002F5453" w:rsidP="00D6359B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“PALACETE VEREADOR CARLOS ALBERTO MANÇO”</w:t>
      </w:r>
      <w:r w:rsidR="00162273" w:rsidRPr="008A09C8">
        <w:rPr>
          <w:rFonts w:ascii="Calibri" w:hAnsi="Calibri" w:cs="Calibri"/>
          <w:sz w:val="24"/>
          <w:szCs w:val="24"/>
        </w:rPr>
        <w:t xml:space="preserve">, </w:t>
      </w:r>
      <w:r w:rsidR="00AA451D">
        <w:rPr>
          <w:rFonts w:ascii="Calibri" w:hAnsi="Calibri" w:cs="Calibri"/>
          <w:sz w:val="24"/>
          <w:szCs w:val="24"/>
        </w:rPr>
        <w:t>30</w:t>
      </w:r>
      <w:bookmarkStart w:id="0" w:name="_GoBack"/>
      <w:bookmarkEnd w:id="0"/>
      <w:r w:rsidR="001E225D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 xml:space="preserve">de </w:t>
      </w:r>
      <w:r w:rsidR="009C3C85">
        <w:rPr>
          <w:rFonts w:ascii="Calibri" w:hAnsi="Calibri" w:cs="Calibri"/>
          <w:sz w:val="24"/>
          <w:szCs w:val="24"/>
        </w:rPr>
        <w:t>junh</w:t>
      </w:r>
      <w:r w:rsidR="003250AE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de 20</w:t>
      </w:r>
      <w:r w:rsidR="00433B0A">
        <w:rPr>
          <w:rFonts w:ascii="Calibri" w:hAnsi="Calibri" w:cs="Calibri"/>
          <w:sz w:val="24"/>
          <w:szCs w:val="24"/>
        </w:rPr>
        <w:t>20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170E8E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E3254" w:rsidRDefault="00F91475" w:rsidP="003476B5">
    <w:pPr>
      <w:pStyle w:val="Rodap"/>
      <w:jc w:val="right"/>
      <w:rPr>
        <w:rFonts w:asciiTheme="minorHAnsi" w:hAnsiTheme="minorHAnsi" w:cstheme="minorHAnsi"/>
        <w:sz w:val="20"/>
      </w:rPr>
    </w:pPr>
    <w:r w:rsidRPr="003E3254">
      <w:rPr>
        <w:rFonts w:asciiTheme="minorHAnsi" w:hAnsiTheme="minorHAnsi" w:cstheme="minorHAnsi"/>
        <w:sz w:val="20"/>
      </w:rPr>
      <w:t xml:space="preserve">Página </w:t>
    </w:r>
    <w:r w:rsidRPr="003E3254">
      <w:rPr>
        <w:rFonts w:asciiTheme="minorHAnsi" w:hAnsiTheme="minorHAnsi" w:cstheme="minorHAnsi"/>
        <w:b/>
        <w:bCs/>
        <w:sz w:val="20"/>
      </w:rPr>
      <w:fldChar w:fldCharType="begin"/>
    </w:r>
    <w:r w:rsidRPr="003E3254">
      <w:rPr>
        <w:rFonts w:asciiTheme="minorHAnsi" w:hAnsiTheme="minorHAnsi" w:cstheme="minorHAnsi"/>
        <w:b/>
        <w:bCs/>
        <w:sz w:val="20"/>
      </w:rPr>
      <w:instrText>PAGE  \* Arabic  \* MERGEFORMAT</w:instrText>
    </w:r>
    <w:r w:rsidRPr="003E3254">
      <w:rPr>
        <w:rFonts w:asciiTheme="minorHAnsi" w:hAnsiTheme="minorHAnsi" w:cstheme="minorHAnsi"/>
        <w:b/>
        <w:bCs/>
        <w:sz w:val="20"/>
      </w:rPr>
      <w:fldChar w:fldCharType="separate"/>
    </w:r>
    <w:r w:rsidR="00AA451D">
      <w:rPr>
        <w:rFonts w:asciiTheme="minorHAnsi" w:hAnsiTheme="minorHAnsi" w:cstheme="minorHAnsi"/>
        <w:b/>
        <w:bCs/>
        <w:noProof/>
        <w:sz w:val="20"/>
      </w:rPr>
      <w:t>2</w:t>
    </w:r>
    <w:r w:rsidRPr="003E3254">
      <w:rPr>
        <w:rFonts w:asciiTheme="minorHAnsi" w:hAnsiTheme="minorHAnsi" w:cstheme="minorHAnsi"/>
        <w:b/>
        <w:bCs/>
        <w:sz w:val="20"/>
      </w:rPr>
      <w:fldChar w:fldCharType="end"/>
    </w:r>
    <w:r w:rsidRPr="003E3254">
      <w:rPr>
        <w:rFonts w:asciiTheme="minorHAnsi" w:hAnsiTheme="minorHAnsi" w:cstheme="minorHAnsi"/>
        <w:sz w:val="20"/>
      </w:rPr>
      <w:t xml:space="preserve"> de </w:t>
    </w:r>
    <w:r w:rsidRPr="003E3254">
      <w:rPr>
        <w:rFonts w:asciiTheme="minorHAnsi" w:hAnsiTheme="minorHAnsi" w:cstheme="minorHAnsi"/>
        <w:b/>
        <w:bCs/>
        <w:sz w:val="20"/>
      </w:rPr>
      <w:fldChar w:fldCharType="begin"/>
    </w:r>
    <w:r w:rsidRPr="003E3254">
      <w:rPr>
        <w:rFonts w:asciiTheme="minorHAnsi" w:hAnsiTheme="minorHAnsi" w:cstheme="minorHAnsi"/>
        <w:b/>
        <w:bCs/>
        <w:sz w:val="20"/>
      </w:rPr>
      <w:instrText>NUMPAGES  \* Arabic  \* MERGEFORMAT</w:instrText>
    </w:r>
    <w:r w:rsidRPr="003E3254">
      <w:rPr>
        <w:rFonts w:asciiTheme="minorHAnsi" w:hAnsiTheme="minorHAnsi" w:cstheme="minorHAnsi"/>
        <w:b/>
        <w:bCs/>
        <w:sz w:val="20"/>
      </w:rPr>
      <w:fldChar w:fldCharType="separate"/>
    </w:r>
    <w:r w:rsidR="00AA451D">
      <w:rPr>
        <w:rFonts w:asciiTheme="minorHAnsi" w:hAnsiTheme="minorHAnsi" w:cstheme="minorHAnsi"/>
        <w:b/>
        <w:bCs/>
        <w:noProof/>
        <w:sz w:val="20"/>
      </w:rPr>
      <w:t>2</w:t>
    </w:r>
    <w:r w:rsidRPr="003E3254">
      <w:rPr>
        <w:rFonts w:asciiTheme="minorHAnsi" w:hAnsiTheme="minorHAnsi" w:cstheme="minorHAnsi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A451D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33F0E" w:rsidP="00022312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2557780</wp:posOffset>
          </wp:positionH>
          <wp:positionV relativeFrom="paragraph">
            <wp:posOffset>-282575</wp:posOffset>
          </wp:positionV>
          <wp:extent cx="654050" cy="719455"/>
          <wp:effectExtent l="0" t="0" r="0" b="4445"/>
          <wp:wrapSquare wrapText="bothSides"/>
          <wp:docPr id="3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22312" w:rsidRDefault="00022312">
    <w:pPr>
      <w:pStyle w:val="Cabealho"/>
    </w:pPr>
  </w:p>
  <w:p w:rsidR="00AA451D" w:rsidRDefault="00AA451D" w:rsidP="00170E8E">
    <w:pPr>
      <w:pStyle w:val="Cabealho"/>
      <w:jc w:val="center"/>
      <w:rPr>
        <w:b/>
        <w:sz w:val="36"/>
      </w:rPr>
    </w:pPr>
  </w:p>
  <w:p w:rsidR="00170E8E" w:rsidRDefault="00170E8E" w:rsidP="00170E8E">
    <w:pPr>
      <w:pStyle w:val="Cabealho"/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Pr="00AD1335" w:rsidRDefault="00AD1335" w:rsidP="00170E8E">
    <w:pPr>
      <w:pStyle w:val="Cabealho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A451D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3F0E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06BD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B750D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250AE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4B23"/>
    <w:rsid w:val="00386462"/>
    <w:rsid w:val="00396014"/>
    <w:rsid w:val="00396D5B"/>
    <w:rsid w:val="00397C24"/>
    <w:rsid w:val="003A2288"/>
    <w:rsid w:val="003A3A7C"/>
    <w:rsid w:val="003A7B18"/>
    <w:rsid w:val="003C3464"/>
    <w:rsid w:val="003C3CEE"/>
    <w:rsid w:val="003C6AB7"/>
    <w:rsid w:val="003C6AE6"/>
    <w:rsid w:val="003D1ADD"/>
    <w:rsid w:val="003D2A60"/>
    <w:rsid w:val="003D68F8"/>
    <w:rsid w:val="003E3254"/>
    <w:rsid w:val="003E38F6"/>
    <w:rsid w:val="003F1D99"/>
    <w:rsid w:val="003F3D37"/>
    <w:rsid w:val="003F57BD"/>
    <w:rsid w:val="0040194B"/>
    <w:rsid w:val="00403F93"/>
    <w:rsid w:val="00406EEF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75087"/>
    <w:rsid w:val="00476F31"/>
    <w:rsid w:val="004802E5"/>
    <w:rsid w:val="004945B7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493E"/>
    <w:rsid w:val="00565808"/>
    <w:rsid w:val="00571D48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46863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E11FE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2451"/>
    <w:rsid w:val="009637B8"/>
    <w:rsid w:val="00980AC8"/>
    <w:rsid w:val="00980C8F"/>
    <w:rsid w:val="00990364"/>
    <w:rsid w:val="009919A3"/>
    <w:rsid w:val="009A7F37"/>
    <w:rsid w:val="009C2948"/>
    <w:rsid w:val="009C3C85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A451D"/>
    <w:rsid w:val="00AB0860"/>
    <w:rsid w:val="00AB2D07"/>
    <w:rsid w:val="00AC3F41"/>
    <w:rsid w:val="00AC7B9C"/>
    <w:rsid w:val="00AD0B9E"/>
    <w:rsid w:val="00AD0E39"/>
    <w:rsid w:val="00AD1335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187F"/>
    <w:rsid w:val="00B84242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D7828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283"/>
    <w:rsid w:val="00CA2ABF"/>
    <w:rsid w:val="00CA33F1"/>
    <w:rsid w:val="00CA5785"/>
    <w:rsid w:val="00CB4BDC"/>
    <w:rsid w:val="00CC2DF2"/>
    <w:rsid w:val="00CC413A"/>
    <w:rsid w:val="00CC6E23"/>
    <w:rsid w:val="00CD351E"/>
    <w:rsid w:val="00CD7A3A"/>
    <w:rsid w:val="00CE3A03"/>
    <w:rsid w:val="00CE44A4"/>
    <w:rsid w:val="00D01586"/>
    <w:rsid w:val="00D02260"/>
    <w:rsid w:val="00D101D7"/>
    <w:rsid w:val="00D13DD8"/>
    <w:rsid w:val="00D23298"/>
    <w:rsid w:val="00D265D1"/>
    <w:rsid w:val="00D26953"/>
    <w:rsid w:val="00D339C4"/>
    <w:rsid w:val="00D379BD"/>
    <w:rsid w:val="00D47EAB"/>
    <w:rsid w:val="00D562BA"/>
    <w:rsid w:val="00D60AC5"/>
    <w:rsid w:val="00D61216"/>
    <w:rsid w:val="00D6359B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1625"/>
    <w:rsid w:val="00EF20DE"/>
    <w:rsid w:val="00EF2845"/>
    <w:rsid w:val="00EF38A0"/>
    <w:rsid w:val="00EF4204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1475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2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394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3</cp:revision>
  <cp:lastPrinted>2018-06-26T22:41:00Z</cp:lastPrinted>
  <dcterms:created xsi:type="dcterms:W3CDTF">2020-06-29T20:59:00Z</dcterms:created>
  <dcterms:modified xsi:type="dcterms:W3CDTF">2020-06-29T21:02:00Z</dcterms:modified>
</cp:coreProperties>
</file>