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189/2020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144/2020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R$ 2.158.753,90 (dois milhões, cento e cinquenta e oito mil, setecentos e cinquenta e três reais e noventa centavos), para atender despesas com folha de pagamento até dezembro de 2020 e com tarifas bancárias,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2B8" w:rsidRDefault="009A32B8" w:rsidP="00126850">
      <w:pPr>
        <w:spacing w:line="240" w:lineRule="auto"/>
      </w:pPr>
      <w:r>
        <w:separator/>
      </w:r>
    </w:p>
  </w:endnote>
  <w:endnote w:type="continuationSeparator" w:id="0">
    <w:p w:rsidR="009A32B8" w:rsidRDefault="009A32B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17FE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17FE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2B8" w:rsidRDefault="009A32B8" w:rsidP="00126850">
      <w:pPr>
        <w:spacing w:line="240" w:lineRule="auto"/>
      </w:pPr>
      <w:r>
        <w:separator/>
      </w:r>
    </w:p>
  </w:footnote>
  <w:footnote w:type="continuationSeparator" w:id="0">
    <w:p w:rsidR="009A32B8" w:rsidRDefault="009A32B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32B8"/>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17FEE"/>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0F5A6-175A-4B9F-9952-90F080D2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2020-06-18T20:02:00Z</dcterms:modified>
</cp:coreProperties>
</file>