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E954D0">
        <w:rPr>
          <w:rFonts w:ascii="Calibri" w:hAnsi="Calibri" w:cs="Calibri"/>
          <w:b/>
          <w:sz w:val="24"/>
          <w:szCs w:val="24"/>
        </w:rPr>
        <w:t>144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E954D0">
        <w:rPr>
          <w:rFonts w:ascii="Calibri" w:hAnsi="Calibri" w:cs="Calibri"/>
          <w:b/>
          <w:sz w:val="24"/>
          <w:szCs w:val="24"/>
        </w:rPr>
        <w:t>139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954D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954D0">
        <w:rPr>
          <w:rFonts w:ascii="Calibri" w:hAnsi="Calibri" w:cs="Calibri"/>
          <w:sz w:val="22"/>
          <w:szCs w:val="22"/>
        </w:rPr>
        <w:t>Autoriza a prorrogação dos mandatos dos membros dos conselhos municipais que especifica.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954D0" w:rsidRDefault="00E954D0" w:rsidP="00E954D0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Excepcionalmente no período dos estados de emergência em saúde pública e de calamidade pública decorrentes da pandemia da COVID-19 fica </w:t>
      </w:r>
      <w:bookmarkStart w:id="0" w:name="_Hlk36213435"/>
      <w:r>
        <w:rPr>
          <w:rFonts w:ascii="Calibri" w:hAnsi="Calibri"/>
          <w:sz w:val="24"/>
          <w:szCs w:val="24"/>
        </w:rPr>
        <w:t xml:space="preserve">autorizada a </w:t>
      </w:r>
      <w:bookmarkEnd w:id="0"/>
      <w:r>
        <w:rPr>
          <w:rFonts w:ascii="Calibri" w:hAnsi="Calibri"/>
          <w:sz w:val="24"/>
          <w:szCs w:val="24"/>
        </w:rPr>
        <w:t>prorrogação dos mandatos:</w:t>
      </w:r>
    </w:p>
    <w:p w:rsidR="00E954D0" w:rsidRDefault="00E954D0" w:rsidP="00E954D0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– </w:t>
      </w:r>
      <w:proofErr w:type="gramStart"/>
      <w:r>
        <w:rPr>
          <w:rFonts w:ascii="Calibri" w:hAnsi="Calibri"/>
          <w:sz w:val="24"/>
          <w:szCs w:val="24"/>
        </w:rPr>
        <w:t>dos</w:t>
      </w:r>
      <w:proofErr w:type="gramEnd"/>
      <w:r>
        <w:rPr>
          <w:rFonts w:ascii="Calibri" w:hAnsi="Calibri"/>
          <w:sz w:val="24"/>
          <w:szCs w:val="24"/>
        </w:rPr>
        <w:t xml:space="preserve"> membros do Conselho Municipal da Habitação de Interesse Social, reformulado pela Lei nº 9.060, de 31 de agosto de 2017; </w:t>
      </w:r>
    </w:p>
    <w:p w:rsidR="00E954D0" w:rsidRDefault="00E954D0" w:rsidP="00E954D0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 – </w:t>
      </w:r>
      <w:proofErr w:type="gramStart"/>
      <w:r>
        <w:rPr>
          <w:rFonts w:ascii="Calibri" w:hAnsi="Calibri"/>
          <w:sz w:val="24"/>
          <w:szCs w:val="24"/>
        </w:rPr>
        <w:t>dos</w:t>
      </w:r>
      <w:proofErr w:type="gramEnd"/>
      <w:r>
        <w:rPr>
          <w:rFonts w:ascii="Calibri" w:hAnsi="Calibri"/>
          <w:sz w:val="24"/>
          <w:szCs w:val="24"/>
        </w:rPr>
        <w:t xml:space="preserve"> membros do Conselho Municipal de Assistência Social do Município de Araraquara, reestruturado pela Lei nº 8.585, de 12 de novembro de 2015; e</w:t>
      </w:r>
    </w:p>
    <w:p w:rsidR="00E954D0" w:rsidRDefault="00E954D0" w:rsidP="00E954D0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III – dos membros do Conselho Municipal do Idoso, instituído pela Lei nº 8.033, de 7 de outubro de 2013. </w:t>
      </w:r>
    </w:p>
    <w:p w:rsidR="00E954D0" w:rsidRDefault="00E954D0" w:rsidP="00E954D0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único. A prorrogação dos mandatos prevista no “caput” deste artigo tem caráter temporário, cessando 30 (trinta) dias após o fim da calamidade pública decorrente da pandemia da COVID-19 no Município.</w:t>
      </w:r>
    </w:p>
    <w:p w:rsidR="00E954D0" w:rsidRDefault="00E954D0" w:rsidP="00E954D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2º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E954D0" w:rsidP="00E954D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945B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1" w:name="_GoBack"/>
      <w:bookmarkEnd w:id="1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54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54D0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54D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954D0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281</cp:revision>
  <cp:lastPrinted>2018-06-26T22:41:00Z</cp:lastPrinted>
  <dcterms:created xsi:type="dcterms:W3CDTF">2016-08-16T19:55:00Z</dcterms:created>
  <dcterms:modified xsi:type="dcterms:W3CDTF">2020-06-09T18:53:00Z</dcterms:modified>
</cp:coreProperties>
</file>