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4A22A0">
        <w:rPr>
          <w:rFonts w:ascii="Calibri" w:hAnsi="Calibri" w:cs="Calibri"/>
          <w:b/>
          <w:sz w:val="24"/>
          <w:szCs w:val="24"/>
        </w:rPr>
        <w:t>º 45</w:t>
      </w:r>
      <w:r w:rsidR="007D7D9C">
        <w:rPr>
          <w:rFonts w:ascii="Calibri" w:hAnsi="Calibri" w:cs="Calibri"/>
          <w:b/>
          <w:sz w:val="24"/>
          <w:szCs w:val="24"/>
        </w:rPr>
        <w:t>5</w:t>
      </w:r>
      <w:r w:rsidR="004A22A0">
        <w:rPr>
          <w:rFonts w:ascii="Calibri" w:hAnsi="Calibri" w:cs="Calibri"/>
          <w:b/>
          <w:sz w:val="24"/>
          <w:szCs w:val="24"/>
        </w:rPr>
        <w:t xml:space="preserve">, DE </w:t>
      </w:r>
      <w:r w:rsidR="007D7D9C">
        <w:rPr>
          <w:rFonts w:ascii="Calibri" w:hAnsi="Calibri" w:cs="Calibri"/>
          <w:b/>
          <w:sz w:val="24"/>
          <w:szCs w:val="24"/>
        </w:rPr>
        <w:t>5</w:t>
      </w:r>
      <w:r w:rsidR="004A22A0">
        <w:rPr>
          <w:rFonts w:ascii="Calibri" w:hAnsi="Calibri" w:cs="Calibri"/>
          <w:b/>
          <w:sz w:val="24"/>
          <w:szCs w:val="24"/>
        </w:rPr>
        <w:t xml:space="preserve"> DE </w:t>
      </w:r>
      <w:r w:rsidR="007D7D9C">
        <w:rPr>
          <w:rFonts w:ascii="Calibri" w:hAnsi="Calibri" w:cs="Calibri"/>
          <w:b/>
          <w:sz w:val="24"/>
          <w:szCs w:val="24"/>
        </w:rPr>
        <w:t>JUNH</w:t>
      </w:r>
      <w:r w:rsidR="004A22A0">
        <w:rPr>
          <w:rFonts w:ascii="Calibri" w:hAnsi="Calibri" w:cs="Calibri"/>
          <w:b/>
          <w:sz w:val="24"/>
          <w:szCs w:val="24"/>
        </w:rPr>
        <w:t xml:space="preserve">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CB3F8E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7D7D9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Acrescenta alínea “c” ao inciso I do artigo 2º da Resolução nº 453, de 14 de abril de 2020, prorrogada pela Resolução nº 454, de 12 de maio de 2020, de modo a incluir a Explicação do Pequeno Expediente.</w:t>
      </w:r>
    </w:p>
    <w:p w:rsidR="001C6D7E" w:rsidRPr="00CB3F8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A22A0" w:rsidRDefault="004A22A0" w:rsidP="00CB3F8E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</w:t>
      </w:r>
      <w:r w:rsidR="007D7D9C">
        <w:rPr>
          <w:rFonts w:ascii="Calibri" w:hAnsi="Calibri" w:cs="Calibri"/>
          <w:sz w:val="24"/>
          <w:szCs w:val="22"/>
        </w:rPr>
        <w:t>2</w:t>
      </w:r>
      <w:r w:rsidRPr="004A22A0">
        <w:rPr>
          <w:rFonts w:ascii="Calibri" w:hAnsi="Calibri" w:cs="Calibri"/>
          <w:sz w:val="24"/>
          <w:szCs w:val="22"/>
        </w:rPr>
        <w:t xml:space="preserve"> de </w:t>
      </w:r>
      <w:r w:rsidR="007D7D9C">
        <w:rPr>
          <w:rFonts w:ascii="Calibri" w:hAnsi="Calibri" w:cs="Calibri"/>
          <w:sz w:val="24"/>
          <w:szCs w:val="22"/>
        </w:rPr>
        <w:t>junh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7D7D9C" w:rsidRPr="007D7D9C" w:rsidRDefault="007D7D9C" w:rsidP="007D7D9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Fica acrescentada alínea “c” ao inciso I do artigo 2º da</w:t>
      </w:r>
      <w:r w:rsidRPr="007D7D9C">
        <w:rPr>
          <w:rFonts w:ascii="Calibri" w:hAnsi="Calibri" w:cs="Calibri"/>
          <w:sz w:val="24"/>
          <w:szCs w:val="22"/>
        </w:rPr>
        <w:t xml:space="preserve"> Resolução nº 453, de 14 de abril de 2020, </w:t>
      </w:r>
      <w:r>
        <w:rPr>
          <w:rFonts w:ascii="Calibri" w:hAnsi="Calibri" w:cs="Calibri"/>
          <w:sz w:val="24"/>
          <w:szCs w:val="22"/>
        </w:rPr>
        <w:t xml:space="preserve">prorrogada pela Resolução nº 454, de 12 de maio de 2020, </w:t>
      </w:r>
      <w:r w:rsidRPr="007D7D9C">
        <w:rPr>
          <w:rFonts w:ascii="Calibri" w:hAnsi="Calibri" w:cs="Calibri"/>
          <w:sz w:val="24"/>
          <w:szCs w:val="22"/>
        </w:rPr>
        <w:t>passa</w:t>
      </w:r>
      <w:r>
        <w:rPr>
          <w:rFonts w:ascii="Calibri" w:hAnsi="Calibri" w:cs="Calibri"/>
          <w:sz w:val="24"/>
          <w:szCs w:val="22"/>
        </w:rPr>
        <w:t xml:space="preserve">ndo a vigorar com a seguinte </w:t>
      </w:r>
      <w:r w:rsidRPr="007D7D9C">
        <w:rPr>
          <w:rFonts w:ascii="Calibri" w:hAnsi="Calibri" w:cs="Calibri"/>
          <w:sz w:val="24"/>
          <w:szCs w:val="22"/>
        </w:rPr>
        <w:t>r</w:t>
      </w:r>
      <w:r>
        <w:rPr>
          <w:rFonts w:ascii="Calibri" w:hAnsi="Calibri" w:cs="Calibri"/>
          <w:sz w:val="24"/>
          <w:szCs w:val="22"/>
        </w:rPr>
        <w:t>ed</w:t>
      </w:r>
      <w:r w:rsidRPr="007D7D9C">
        <w:rPr>
          <w:rFonts w:ascii="Calibri" w:hAnsi="Calibri" w:cs="Calibri"/>
          <w:sz w:val="24"/>
          <w:szCs w:val="22"/>
        </w:rPr>
        <w:t>ação:</w:t>
      </w:r>
    </w:p>
    <w:p w:rsidR="007D7D9C" w:rsidRPr="007D7D9C" w:rsidRDefault="007D7D9C" w:rsidP="007D7D9C">
      <w:pPr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7D7D9C">
        <w:rPr>
          <w:rFonts w:ascii="Calibri" w:hAnsi="Calibri" w:cs="Calibri"/>
          <w:sz w:val="24"/>
          <w:szCs w:val="22"/>
        </w:rPr>
        <w:t>“Art. 2º 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</w:t>
      </w:r>
    </w:p>
    <w:p w:rsidR="007D7D9C" w:rsidRPr="007D7D9C" w:rsidRDefault="007D7D9C" w:rsidP="007D7D9C">
      <w:pPr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7D7D9C">
        <w:rPr>
          <w:rFonts w:ascii="Calibri" w:hAnsi="Calibri" w:cs="Calibri"/>
          <w:sz w:val="24"/>
          <w:szCs w:val="22"/>
        </w:rPr>
        <w:t>I - 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</w:t>
      </w:r>
      <w:bookmarkStart w:id="0" w:name="_GoBack"/>
      <w:bookmarkEnd w:id="0"/>
    </w:p>
    <w:p w:rsidR="007D7D9C" w:rsidRPr="007D7D9C" w:rsidRDefault="007D7D9C" w:rsidP="007D7D9C">
      <w:pPr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7D7D9C">
        <w:rPr>
          <w:rFonts w:ascii="Calibri" w:hAnsi="Calibri" w:cs="Calibri"/>
          <w:sz w:val="24"/>
          <w:szCs w:val="22"/>
        </w:rPr>
        <w:t xml:space="preserve">c) Explicação do Pequeno Expediente, onde, excepcionalmente, cada vereador terá o tempo máximo de </w:t>
      </w:r>
      <w:r>
        <w:rPr>
          <w:rFonts w:ascii="Calibri" w:hAnsi="Calibri" w:cs="Calibri"/>
          <w:sz w:val="24"/>
          <w:szCs w:val="22"/>
        </w:rPr>
        <w:t>5</w:t>
      </w:r>
      <w:r w:rsidRPr="007D7D9C">
        <w:rPr>
          <w:rFonts w:ascii="Calibri" w:hAnsi="Calibri" w:cs="Calibri"/>
          <w:sz w:val="24"/>
          <w:szCs w:val="22"/>
        </w:rPr>
        <w:t xml:space="preserve"> (</w:t>
      </w:r>
      <w:r>
        <w:rPr>
          <w:rFonts w:ascii="Calibri" w:hAnsi="Calibri" w:cs="Calibri"/>
          <w:sz w:val="24"/>
          <w:szCs w:val="22"/>
        </w:rPr>
        <w:t>cinco</w:t>
      </w:r>
      <w:r w:rsidRPr="007D7D9C">
        <w:rPr>
          <w:rFonts w:ascii="Calibri" w:hAnsi="Calibri" w:cs="Calibri"/>
          <w:sz w:val="24"/>
          <w:szCs w:val="22"/>
        </w:rPr>
        <w:t>) minutos para uso da palavra para expor assunto de sua livre escolha, não permitidos apartes.”</w:t>
      </w:r>
    </w:p>
    <w:p w:rsidR="007D7D9C" w:rsidRDefault="007D7D9C" w:rsidP="007D7D9C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7D7D9C">
        <w:rPr>
          <w:rFonts w:ascii="Calibri" w:hAnsi="Calibri" w:cs="Calibri"/>
          <w:sz w:val="24"/>
          <w:szCs w:val="22"/>
        </w:rPr>
        <w:t>Art. 2º Esta resolução entra em vigor na data de sua publicação.</w:t>
      </w:r>
    </w:p>
    <w:p w:rsidR="00537139" w:rsidRPr="00537139" w:rsidRDefault="00537139" w:rsidP="007D7D9C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7D7D9C">
        <w:rPr>
          <w:rFonts w:ascii="Calibri" w:hAnsi="Calibri" w:cs="Arial"/>
          <w:sz w:val="24"/>
          <w:szCs w:val="24"/>
        </w:rPr>
        <w:t>5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7D7D9C">
        <w:rPr>
          <w:rFonts w:ascii="Calibri" w:hAnsi="Calibri" w:cs="Arial"/>
          <w:sz w:val="24"/>
          <w:szCs w:val="24"/>
        </w:rPr>
        <w:t>junh</w:t>
      </w:r>
      <w:r w:rsidRPr="00537139">
        <w:rPr>
          <w:rFonts w:ascii="Calibri" w:hAnsi="Calibri" w:cs="Arial"/>
          <w:sz w:val="24"/>
          <w:szCs w:val="24"/>
        </w:rPr>
        <w:t>o de 2020.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CB3F8E" w:rsidRPr="00537139" w:rsidRDefault="00CB3F8E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CB3F8E" w:rsidRDefault="00CB3F8E" w:rsidP="004A22A0">
      <w:pPr>
        <w:rPr>
          <w:rFonts w:ascii="Calibri" w:hAnsi="Calibri" w:cs="Arial"/>
          <w:sz w:val="22"/>
          <w:szCs w:val="24"/>
        </w:rPr>
      </w:pP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Arquivada no Processo Legislativo nº 1</w:t>
      </w:r>
      <w:r w:rsidR="007D7D9C">
        <w:rPr>
          <w:rFonts w:ascii="Calibri" w:hAnsi="Calibri" w:cs="Arial"/>
          <w:sz w:val="22"/>
          <w:szCs w:val="24"/>
        </w:rPr>
        <w:t>7</w:t>
      </w:r>
      <w:r>
        <w:rPr>
          <w:rFonts w:ascii="Calibri" w:hAnsi="Calibri" w:cs="Arial"/>
          <w:sz w:val="22"/>
          <w:szCs w:val="24"/>
        </w:rPr>
        <w:t>8/2020.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CB3F8E" w:rsidRDefault="00CB3F8E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7D7D9C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VALDEMAR MARTINS NETO MOUCO MENDONÇA</w:t>
      </w:r>
    </w:p>
    <w:p w:rsidR="00C4571C" w:rsidRPr="00C4571C" w:rsidRDefault="007D7D9C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Diretor Legislativo</w:t>
      </w: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8E" w:rsidRPr="00CB3F8E" w:rsidRDefault="00CB3F8E" w:rsidP="00CB3F8E">
    <w:pPr>
      <w:pStyle w:val="Rodap"/>
      <w:jc w:val="right"/>
      <w:rPr>
        <w:rFonts w:ascii="Calibri" w:hAnsi="Calibri" w:cs="Calibri"/>
        <w:sz w:val="20"/>
      </w:rPr>
    </w:pPr>
    <w:r w:rsidRPr="00CB3F8E">
      <w:rPr>
        <w:rFonts w:ascii="Calibri" w:hAnsi="Calibri" w:cs="Calibri"/>
        <w:sz w:val="20"/>
      </w:rPr>
      <w:t xml:space="preserve">Página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PAGE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7D7D9C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  <w:r w:rsidRPr="00CB3F8E">
      <w:rPr>
        <w:rFonts w:ascii="Calibri" w:hAnsi="Calibri" w:cs="Calibri"/>
        <w:sz w:val="20"/>
      </w:rPr>
      <w:t xml:space="preserve"> de </w:t>
    </w:r>
    <w:r w:rsidRPr="00CB3F8E">
      <w:rPr>
        <w:rFonts w:ascii="Calibri" w:hAnsi="Calibri" w:cs="Calibri"/>
        <w:b/>
        <w:bCs/>
        <w:sz w:val="20"/>
      </w:rPr>
      <w:fldChar w:fldCharType="begin"/>
    </w:r>
    <w:r w:rsidRPr="00CB3F8E">
      <w:rPr>
        <w:rFonts w:ascii="Calibri" w:hAnsi="Calibri" w:cs="Calibri"/>
        <w:b/>
        <w:bCs/>
        <w:sz w:val="20"/>
      </w:rPr>
      <w:instrText>NUMPAGES</w:instrText>
    </w:r>
    <w:r w:rsidRPr="00CB3F8E">
      <w:rPr>
        <w:rFonts w:ascii="Calibri" w:hAnsi="Calibri" w:cs="Calibri"/>
        <w:b/>
        <w:bCs/>
        <w:sz w:val="20"/>
      </w:rPr>
      <w:fldChar w:fldCharType="separate"/>
    </w:r>
    <w:r w:rsidR="007D7D9C">
      <w:rPr>
        <w:rFonts w:ascii="Calibri" w:hAnsi="Calibri" w:cs="Calibri"/>
        <w:b/>
        <w:bCs/>
        <w:noProof/>
        <w:sz w:val="20"/>
      </w:rPr>
      <w:t>1</w:t>
    </w:r>
    <w:r w:rsidRPr="00CB3F8E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7D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7D9C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7D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07A3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D9C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3F8E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417</cp:revision>
  <cp:lastPrinted>2020-03-17T20:22:00Z</cp:lastPrinted>
  <dcterms:created xsi:type="dcterms:W3CDTF">2016-08-16T19:55:00Z</dcterms:created>
  <dcterms:modified xsi:type="dcterms:W3CDTF">2020-06-04T20:27:00Z</dcterms:modified>
</cp:coreProperties>
</file>