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DD41DF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E34EF4">
              <w:rPr>
                <w:b/>
                <w:bCs/>
                <w:sz w:val="32"/>
                <w:szCs w:val="32"/>
              </w:rPr>
              <w:t>2020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CB33DC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Projeto de Lei </w:t>
      </w:r>
      <w:r w:rsidR="00BA3BC2">
        <w:rPr>
          <w:b w:val="0"/>
        </w:rPr>
        <w:t>Complementar nº 005</w:t>
      </w:r>
      <w:r w:rsidR="00D005C6">
        <w:rPr>
          <w:b w:val="0"/>
        </w:rPr>
        <w:t>/2020</w:t>
      </w:r>
      <w:r w:rsidR="0043733D">
        <w:rPr>
          <w:b w:val="0"/>
        </w:rPr>
        <w:t xml:space="preserve">, acompanhado de substitutivo 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BA3BC2">
        <w:rPr>
          <w:b w:val="0"/>
        </w:rPr>
        <w:t>97</w:t>
      </w:r>
      <w:r w:rsidR="00D005C6">
        <w:rPr>
          <w:b w:val="0"/>
        </w:rPr>
        <w:t>/2020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9B2556">
        <w:rPr>
          <w:rFonts w:ascii="Arial" w:hAnsi="Arial" w:cs="Arial"/>
          <w:sz w:val="24"/>
          <w:szCs w:val="24"/>
        </w:rPr>
        <w:t xml:space="preserve">Vereador </w:t>
      </w:r>
      <w:r w:rsidR="00BA3BC2">
        <w:rPr>
          <w:rFonts w:ascii="Arial" w:hAnsi="Arial" w:cs="Arial"/>
          <w:sz w:val="24"/>
          <w:szCs w:val="24"/>
        </w:rPr>
        <w:t xml:space="preserve">Edson </w:t>
      </w:r>
      <w:proofErr w:type="spellStart"/>
      <w:r w:rsidR="00BA3BC2">
        <w:rPr>
          <w:rFonts w:ascii="Arial" w:hAnsi="Arial" w:cs="Arial"/>
          <w:sz w:val="24"/>
          <w:szCs w:val="24"/>
        </w:rPr>
        <w:t>Hel</w:t>
      </w:r>
      <w:proofErr w:type="spellEnd"/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41487D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Pr="0041487D">
        <w:rPr>
          <w:rFonts w:ascii="Arial" w:hAnsi="Arial" w:cs="Arial"/>
          <w:sz w:val="24"/>
          <w:szCs w:val="24"/>
        </w:rPr>
        <w:t>Dispõe sobre a regularização de obras executadas em desacordo com a legislação municipal vigente, e dá outras providências.</w:t>
      </w:r>
    </w:p>
    <w:p w:rsidR="00F91C8F" w:rsidRDefault="00F91C8F" w:rsidP="005536A2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5E07A6" w:rsidRPr="003372F9" w:rsidRDefault="00B5377C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 w:rsidRPr="00B5377C">
        <w:rPr>
          <w:rFonts w:ascii="Arial" w:hAnsi="Arial" w:cs="Arial"/>
          <w:sz w:val="24"/>
          <w:szCs w:val="24"/>
        </w:rPr>
        <w:tab/>
      </w:r>
      <w:r w:rsidRPr="00B5377C">
        <w:rPr>
          <w:rFonts w:ascii="Arial" w:hAnsi="Arial" w:cs="Arial"/>
          <w:sz w:val="24"/>
          <w:szCs w:val="24"/>
        </w:rPr>
        <w:tab/>
      </w:r>
      <w:proofErr w:type="spellStart"/>
      <w:r w:rsidR="0041487D" w:rsidRPr="003372F9">
        <w:rPr>
          <w:rFonts w:ascii="Arial" w:hAnsi="Arial" w:cs="Arial"/>
          <w:i/>
          <w:sz w:val="23"/>
          <w:szCs w:val="23"/>
        </w:rPr>
        <w:t>Ab</w:t>
      </w:r>
      <w:proofErr w:type="spellEnd"/>
      <w:r w:rsidR="0041487D" w:rsidRPr="003372F9">
        <w:rPr>
          <w:rFonts w:ascii="Arial" w:hAnsi="Arial" w:cs="Arial"/>
          <w:i/>
          <w:sz w:val="23"/>
          <w:szCs w:val="23"/>
        </w:rPr>
        <w:t xml:space="preserve"> initio, </w:t>
      </w:r>
      <w:r w:rsidR="0041487D" w:rsidRPr="003372F9">
        <w:rPr>
          <w:rFonts w:ascii="Arial" w:hAnsi="Arial" w:cs="Arial"/>
          <w:sz w:val="23"/>
          <w:szCs w:val="23"/>
        </w:rPr>
        <w:t xml:space="preserve">elucida-se que a propositura, conquanto carregada de bons intentos, é inconstitucional. Isso decorre da impossibilidade do nobre edil legislar da forma pretendida, uma vez que remanesce – </w:t>
      </w:r>
      <w:r w:rsidR="0041487D" w:rsidRPr="003372F9">
        <w:rPr>
          <w:rFonts w:ascii="Arial" w:hAnsi="Arial" w:cs="Arial"/>
          <w:i/>
          <w:sz w:val="23"/>
          <w:szCs w:val="23"/>
        </w:rPr>
        <w:t xml:space="preserve">in </w:t>
      </w:r>
      <w:proofErr w:type="spellStart"/>
      <w:r w:rsidR="0041487D" w:rsidRPr="003372F9">
        <w:rPr>
          <w:rFonts w:ascii="Arial" w:hAnsi="Arial" w:cs="Arial"/>
          <w:i/>
          <w:sz w:val="23"/>
          <w:szCs w:val="23"/>
        </w:rPr>
        <w:t>casu</w:t>
      </w:r>
      <w:proofErr w:type="spellEnd"/>
      <w:r w:rsidR="0041487D" w:rsidRPr="003372F9">
        <w:rPr>
          <w:rFonts w:ascii="Arial" w:hAnsi="Arial" w:cs="Arial"/>
          <w:i/>
          <w:sz w:val="23"/>
          <w:szCs w:val="23"/>
        </w:rPr>
        <w:softHyphen/>
        <w:t xml:space="preserve"> – </w:t>
      </w:r>
      <w:r w:rsidR="0041487D" w:rsidRPr="003372F9">
        <w:rPr>
          <w:rFonts w:ascii="Arial" w:hAnsi="Arial" w:cs="Arial"/>
          <w:sz w:val="23"/>
          <w:szCs w:val="23"/>
        </w:rPr>
        <w:t>a exclusiva compet</w:t>
      </w:r>
      <w:r w:rsidR="00EF41B3" w:rsidRPr="003372F9">
        <w:rPr>
          <w:rFonts w:ascii="Arial" w:hAnsi="Arial" w:cs="Arial"/>
          <w:sz w:val="23"/>
          <w:szCs w:val="23"/>
        </w:rPr>
        <w:t>ência do Chefe do Executivo</w:t>
      </w:r>
      <w:r w:rsidR="0041487D" w:rsidRPr="003372F9">
        <w:rPr>
          <w:rFonts w:ascii="Arial" w:hAnsi="Arial" w:cs="Arial"/>
          <w:sz w:val="23"/>
          <w:szCs w:val="23"/>
        </w:rPr>
        <w:t xml:space="preserve">, posto tratar-se de assunto eminentemente administrativo. </w:t>
      </w:r>
    </w:p>
    <w:p w:rsidR="0041487D" w:rsidRDefault="0041487D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41487D" w:rsidRDefault="0041487D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Neste prumo, esta possui como consectários a necessidade de estudos técnicos, planejamento, reservados – mediante o modelo segregacionista de repartição de competências, poderes – ao alcaide. </w:t>
      </w:r>
    </w:p>
    <w:p w:rsidR="0041487D" w:rsidRDefault="0041487D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41487D" w:rsidRDefault="0041487D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3C77E6">
        <w:rPr>
          <w:rFonts w:ascii="Arial" w:hAnsi="Arial" w:cs="Arial"/>
          <w:sz w:val="23"/>
          <w:szCs w:val="23"/>
        </w:rPr>
        <w:t>Sucede-se que a</w:t>
      </w:r>
      <w:r w:rsidR="003C77E6" w:rsidRPr="003C77E6">
        <w:rPr>
          <w:rFonts w:ascii="Arial" w:hAnsi="Arial" w:cs="Arial"/>
          <w:sz w:val="23"/>
          <w:szCs w:val="23"/>
        </w:rPr>
        <w:t xml:space="preserve"> matéria </w:t>
      </w:r>
      <w:r w:rsidR="003C77E6">
        <w:rPr>
          <w:rFonts w:ascii="Arial" w:hAnsi="Arial" w:cs="Arial"/>
          <w:sz w:val="23"/>
          <w:szCs w:val="23"/>
        </w:rPr>
        <w:t>concernente</w:t>
      </w:r>
      <w:r w:rsidR="003C77E6" w:rsidRPr="003C77E6">
        <w:rPr>
          <w:rFonts w:ascii="Arial" w:hAnsi="Arial" w:cs="Arial"/>
          <w:sz w:val="23"/>
          <w:szCs w:val="23"/>
        </w:rPr>
        <w:t xml:space="preserve"> à gestão da cidade advém, notadamente, da administração realizada pelo Chefe do Executivo, a chamada “reserv</w:t>
      </w:r>
      <w:r w:rsidR="003C77E6">
        <w:rPr>
          <w:rFonts w:ascii="Arial" w:hAnsi="Arial" w:cs="Arial"/>
          <w:sz w:val="23"/>
          <w:szCs w:val="23"/>
        </w:rPr>
        <w:t xml:space="preserve">a de administração”, a qual – violada – gera translúcida afronta ao princípio da separação dos poderes. </w:t>
      </w: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Nesta toada, o Supremo Tribunal Federal já assentou que “</w:t>
      </w:r>
      <w:r w:rsidRPr="003C77E6">
        <w:rPr>
          <w:rFonts w:ascii="Arial" w:hAnsi="Arial" w:cs="Arial"/>
          <w:sz w:val="23"/>
          <w:szCs w:val="23"/>
        </w:rPr>
        <w:t>a iniciativa reservada, por constituir matéria de direito estrito, não se presume e nem comporta interpretação ampliativa, na medida em que - por implicar limitação ao poder de instauração do processo legislativo - deve necessariamente derivar de norma consti</w:t>
      </w:r>
      <w:r>
        <w:rPr>
          <w:rFonts w:ascii="Arial" w:hAnsi="Arial" w:cs="Arial"/>
          <w:sz w:val="23"/>
          <w:szCs w:val="23"/>
        </w:rPr>
        <w:t>tucional explícita e inequívoca”</w:t>
      </w:r>
      <w:r w:rsidRPr="003C77E6">
        <w:rPr>
          <w:rFonts w:ascii="Arial" w:hAnsi="Arial" w:cs="Arial"/>
          <w:sz w:val="23"/>
          <w:szCs w:val="23"/>
        </w:rPr>
        <w:t xml:space="preserve"> (ADI 724 MC, rel. o Ministro Celso de Mello, DJ 27-04- 2001). </w:t>
      </w: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3C77E6">
        <w:rPr>
          <w:rFonts w:ascii="Arial" w:hAnsi="Arial" w:cs="Arial"/>
          <w:sz w:val="23"/>
          <w:szCs w:val="23"/>
        </w:rPr>
        <w:t xml:space="preserve">Por isso, </w:t>
      </w:r>
      <w:r>
        <w:rPr>
          <w:rFonts w:ascii="Arial" w:hAnsi="Arial" w:cs="Arial"/>
          <w:sz w:val="23"/>
          <w:szCs w:val="23"/>
        </w:rPr>
        <w:t>também, tem sido reiterado que “</w:t>
      </w:r>
      <w:r w:rsidRPr="003C77E6">
        <w:rPr>
          <w:rFonts w:ascii="Arial" w:hAnsi="Arial" w:cs="Arial"/>
          <w:sz w:val="23"/>
          <w:szCs w:val="23"/>
        </w:rPr>
        <w:t>não procede a alegação de que qualquer projeto de lei que crie despesa só poderá ser p</w:t>
      </w:r>
      <w:r>
        <w:rPr>
          <w:rFonts w:ascii="Arial" w:hAnsi="Arial" w:cs="Arial"/>
          <w:sz w:val="23"/>
          <w:szCs w:val="23"/>
        </w:rPr>
        <w:t>roposto pelo Chefe do Executivo”</w:t>
      </w:r>
      <w:r w:rsidRPr="003C77E6">
        <w:rPr>
          <w:rFonts w:ascii="Arial" w:hAnsi="Arial" w:cs="Arial"/>
          <w:sz w:val="23"/>
          <w:szCs w:val="23"/>
        </w:rPr>
        <w:t xml:space="preserve"> (ADI 3.394, rel. o Ministro Eros Grau, </w:t>
      </w:r>
      <w:proofErr w:type="spellStart"/>
      <w:r w:rsidRPr="003C77E6">
        <w:rPr>
          <w:rFonts w:ascii="Arial" w:hAnsi="Arial" w:cs="Arial"/>
          <w:sz w:val="23"/>
          <w:szCs w:val="23"/>
        </w:rPr>
        <w:t>DJe</w:t>
      </w:r>
      <w:proofErr w:type="spellEnd"/>
      <w:r w:rsidRPr="003C77E6">
        <w:rPr>
          <w:rFonts w:ascii="Arial" w:hAnsi="Arial" w:cs="Arial"/>
          <w:sz w:val="23"/>
          <w:szCs w:val="23"/>
        </w:rPr>
        <w:t xml:space="preserve"> 15.8.2008) e que,</w:t>
      </w:r>
      <w:r>
        <w:rPr>
          <w:rFonts w:ascii="Arial" w:hAnsi="Arial" w:cs="Arial"/>
          <w:sz w:val="23"/>
          <w:szCs w:val="23"/>
        </w:rPr>
        <w:t xml:space="preserve"> “</w:t>
      </w:r>
      <w:r w:rsidRPr="003C77E6">
        <w:rPr>
          <w:rFonts w:ascii="Arial" w:hAnsi="Arial" w:cs="Arial"/>
          <w:sz w:val="23"/>
          <w:szCs w:val="23"/>
        </w:rPr>
        <w:t>se se entender que qualquer dispositivo que interfira no orçamento fere a iniciativa exclusiva do Chefe do Executivo para lei orçamentá</w:t>
      </w:r>
      <w:r>
        <w:rPr>
          <w:rFonts w:ascii="Arial" w:hAnsi="Arial" w:cs="Arial"/>
          <w:sz w:val="23"/>
          <w:szCs w:val="23"/>
        </w:rPr>
        <w:t>ria, não será possível legislar”</w:t>
      </w:r>
      <w:r w:rsidRPr="003C77E6">
        <w:rPr>
          <w:rFonts w:ascii="Arial" w:hAnsi="Arial" w:cs="Arial"/>
          <w:sz w:val="23"/>
          <w:szCs w:val="23"/>
        </w:rPr>
        <w:t xml:space="preserve"> (ADI 2.072-MC, rel. o Ministro Moreira Alves, DJ 19.9.2003).</w:t>
      </w: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À vista disso, n</w:t>
      </w:r>
      <w:r w:rsidRPr="003C77E6">
        <w:rPr>
          <w:rFonts w:ascii="Arial" w:hAnsi="Arial" w:cs="Arial"/>
          <w:sz w:val="23"/>
          <w:szCs w:val="23"/>
        </w:rPr>
        <w:t>ão há, no plano federal,</w:t>
      </w:r>
      <w:r>
        <w:rPr>
          <w:rFonts w:ascii="Arial" w:hAnsi="Arial" w:cs="Arial"/>
          <w:sz w:val="23"/>
          <w:szCs w:val="23"/>
        </w:rPr>
        <w:t xml:space="preserve"> estatual ou municipal,</w:t>
      </w:r>
      <w:r w:rsidRPr="003C77E6">
        <w:rPr>
          <w:rFonts w:ascii="Arial" w:hAnsi="Arial" w:cs="Arial"/>
          <w:sz w:val="23"/>
          <w:szCs w:val="23"/>
        </w:rPr>
        <w:t xml:space="preserve"> exclusividade de iniciativa </w:t>
      </w:r>
      <w:r w:rsidR="00572C13">
        <w:rPr>
          <w:rFonts w:ascii="Arial" w:hAnsi="Arial" w:cs="Arial"/>
          <w:sz w:val="23"/>
          <w:szCs w:val="23"/>
        </w:rPr>
        <w:t xml:space="preserve">no </w:t>
      </w:r>
      <w:r w:rsidRPr="003C77E6">
        <w:rPr>
          <w:rFonts w:ascii="Arial" w:hAnsi="Arial" w:cs="Arial"/>
          <w:sz w:val="23"/>
          <w:szCs w:val="23"/>
        </w:rPr>
        <w:t xml:space="preserve">tema </w:t>
      </w:r>
      <w:r>
        <w:rPr>
          <w:rFonts w:ascii="Arial" w:hAnsi="Arial" w:cs="Arial"/>
          <w:sz w:val="23"/>
          <w:szCs w:val="23"/>
        </w:rPr>
        <w:t>afeto a</w:t>
      </w:r>
      <w:r w:rsidRPr="003C77E6">
        <w:rPr>
          <w:rFonts w:ascii="Arial" w:hAnsi="Arial" w:cs="Arial"/>
          <w:sz w:val="23"/>
          <w:szCs w:val="23"/>
        </w:rPr>
        <w:t xml:space="preserve"> ed</w:t>
      </w:r>
      <w:r>
        <w:rPr>
          <w:rFonts w:ascii="Arial" w:hAnsi="Arial" w:cs="Arial"/>
          <w:sz w:val="23"/>
          <w:szCs w:val="23"/>
        </w:rPr>
        <w:t>ificações e obras, matéria trazida a lume.</w:t>
      </w:r>
      <w:r w:rsidR="006E33EC">
        <w:rPr>
          <w:rFonts w:ascii="Arial" w:hAnsi="Arial" w:cs="Arial"/>
          <w:sz w:val="23"/>
          <w:szCs w:val="23"/>
        </w:rPr>
        <w:t xml:space="preserve"> É dizer: a </w:t>
      </w:r>
      <w:r w:rsidR="006E33EC" w:rsidRPr="006E33EC">
        <w:rPr>
          <w:rFonts w:ascii="Arial" w:hAnsi="Arial" w:cs="Arial"/>
          <w:sz w:val="23"/>
          <w:szCs w:val="23"/>
        </w:rPr>
        <w:t>matéria respeitante a loteamento, uso e ocupação do solo urbano, zoneamento, construções e edificações é da iniciativa legislativa concorrente (STF, RE 218.110-SP).</w:t>
      </w:r>
      <w:r w:rsidR="006E33EC">
        <w:rPr>
          <w:rFonts w:ascii="Arial" w:hAnsi="Arial" w:cs="Arial"/>
          <w:sz w:val="23"/>
          <w:szCs w:val="23"/>
        </w:rPr>
        <w:t xml:space="preserve"> </w:t>
      </w:r>
    </w:p>
    <w:p w:rsidR="003C77E6" w:rsidRDefault="003C77E6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41487D" w:rsidRDefault="003C77E6" w:rsidP="006E33E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Entrementes, o Projeto de Lei Complementar</w:t>
      </w:r>
      <w:r w:rsidR="009B1C95">
        <w:rPr>
          <w:rFonts w:ascii="Arial" w:hAnsi="Arial" w:cs="Arial"/>
          <w:sz w:val="23"/>
          <w:szCs w:val="23"/>
        </w:rPr>
        <w:t xml:space="preserve"> nº 005/2020</w:t>
      </w:r>
      <w:r>
        <w:rPr>
          <w:rFonts w:ascii="Arial" w:hAnsi="Arial" w:cs="Arial"/>
          <w:sz w:val="23"/>
          <w:szCs w:val="23"/>
        </w:rPr>
        <w:t xml:space="preserve">, acompanhado de substitutivo, </w:t>
      </w:r>
      <w:r w:rsidRPr="003C77E6">
        <w:rPr>
          <w:rFonts w:ascii="Arial" w:hAnsi="Arial" w:cs="Arial"/>
          <w:sz w:val="23"/>
          <w:szCs w:val="23"/>
        </w:rPr>
        <w:t xml:space="preserve">a par disso, </w:t>
      </w:r>
      <w:r>
        <w:rPr>
          <w:rFonts w:ascii="Arial" w:hAnsi="Arial" w:cs="Arial"/>
          <w:sz w:val="23"/>
          <w:szCs w:val="23"/>
        </w:rPr>
        <w:t xml:space="preserve">tem o nítido condão de ocasionar alteração </w:t>
      </w:r>
      <w:r w:rsidRPr="003C77E6">
        <w:rPr>
          <w:rFonts w:ascii="Arial" w:hAnsi="Arial" w:cs="Arial"/>
          <w:sz w:val="23"/>
          <w:szCs w:val="23"/>
        </w:rPr>
        <w:t xml:space="preserve">na ordem burocrática do Município, </w:t>
      </w:r>
      <w:r w:rsidR="006E33EC">
        <w:rPr>
          <w:rFonts w:ascii="Arial" w:hAnsi="Arial" w:cs="Arial"/>
          <w:sz w:val="23"/>
          <w:szCs w:val="23"/>
        </w:rPr>
        <w:t>de modo que, p</w:t>
      </w:r>
      <w:r w:rsidR="006E33EC" w:rsidRPr="006E33EC">
        <w:rPr>
          <w:rFonts w:ascii="Arial" w:hAnsi="Arial" w:cs="Arial"/>
          <w:sz w:val="23"/>
          <w:szCs w:val="23"/>
        </w:rPr>
        <w:t>e</w:t>
      </w:r>
      <w:r w:rsidR="006E33EC">
        <w:rPr>
          <w:rFonts w:ascii="Arial" w:hAnsi="Arial" w:cs="Arial"/>
          <w:sz w:val="23"/>
          <w:szCs w:val="23"/>
        </w:rPr>
        <w:t xml:space="preserve">la natureza da matéria regulada </w:t>
      </w:r>
      <w:r w:rsidR="006E33EC" w:rsidRPr="006E33EC">
        <w:rPr>
          <w:rFonts w:ascii="Arial" w:hAnsi="Arial" w:cs="Arial"/>
          <w:sz w:val="23"/>
          <w:szCs w:val="23"/>
        </w:rPr>
        <w:t>e pelos requisitos que nosso sistema constitucional estabelecem para a elaboração da legislação urban</w:t>
      </w:r>
      <w:r w:rsidR="00BA52A0">
        <w:rPr>
          <w:rFonts w:ascii="Arial" w:hAnsi="Arial" w:cs="Arial"/>
          <w:sz w:val="23"/>
          <w:szCs w:val="23"/>
        </w:rPr>
        <w:t>ística, é lícito afirmar que ele</w:t>
      </w:r>
      <w:r w:rsidR="006E33EC" w:rsidRPr="006E33EC">
        <w:rPr>
          <w:rFonts w:ascii="Arial" w:hAnsi="Arial" w:cs="Arial"/>
          <w:sz w:val="23"/>
          <w:szCs w:val="23"/>
        </w:rPr>
        <w:t xml:space="preserve"> demanda planejamento administrativo específico. E o </w:t>
      </w:r>
      <w:r w:rsidR="006E33EC" w:rsidRPr="006E33EC">
        <w:rPr>
          <w:rFonts w:ascii="Arial" w:hAnsi="Arial" w:cs="Arial"/>
          <w:sz w:val="23"/>
          <w:szCs w:val="23"/>
        </w:rPr>
        <w:lastRenderedPageBreak/>
        <w:t>planejamento na ocupação e uso do solo das cidades é algo que só o Poder Executivo é habilitado, estrutural e tecnicamente, a fazer.</w:t>
      </w:r>
    </w:p>
    <w:p w:rsidR="006E33EC" w:rsidRDefault="006E33EC" w:rsidP="006E33E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6E33EC" w:rsidRDefault="006E33EC" w:rsidP="00EF7EB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EF7EB5">
        <w:rPr>
          <w:rFonts w:ascii="Arial" w:hAnsi="Arial" w:cs="Arial"/>
          <w:sz w:val="23"/>
          <w:szCs w:val="23"/>
        </w:rPr>
        <w:tab/>
        <w:t xml:space="preserve">Está-se diante, aqui e a um só turno, tanto de inconstitucionalidade formal subjetiva por indevida ingerência no espectro de atuação do Prefeito quanto de inconstitucionalidade material por desrespeito ao princípio da separação dos poderes. </w:t>
      </w:r>
    </w:p>
    <w:p w:rsidR="00EF7EB5" w:rsidRDefault="00EF7EB5" w:rsidP="00EF7EB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EF7EB5" w:rsidRDefault="00EF7EB5" w:rsidP="00EF7EB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D006DF">
        <w:rPr>
          <w:rFonts w:ascii="Arial" w:hAnsi="Arial" w:cs="Arial"/>
          <w:sz w:val="23"/>
          <w:szCs w:val="23"/>
        </w:rPr>
        <w:t>Superado o que fora adrede discorrido, adentra-se no âmago do princípio constitucional do planejamento em matéria urbanística.</w:t>
      </w:r>
    </w:p>
    <w:p w:rsidR="00D006DF" w:rsidRDefault="00D006DF" w:rsidP="00EF7EB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7D7565" w:rsidRDefault="00D006DF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Nesse diapasão, nos termos do </w:t>
      </w:r>
      <w:r>
        <w:rPr>
          <w:rFonts w:ascii="Arial" w:hAnsi="Arial" w:cs="Arial"/>
          <w:i/>
          <w:sz w:val="23"/>
          <w:szCs w:val="23"/>
        </w:rPr>
        <w:t xml:space="preserve">caput </w:t>
      </w:r>
      <w:r w:rsidR="007D7565">
        <w:rPr>
          <w:rFonts w:ascii="Arial" w:hAnsi="Arial" w:cs="Arial"/>
          <w:sz w:val="23"/>
          <w:szCs w:val="23"/>
        </w:rPr>
        <w:t xml:space="preserve">do art. 152, em conluio com o inciso IV do parágrafo único do mesmo artigo, da Carta Politica Municipal, </w:t>
      </w:r>
      <w:r w:rsidR="007D7565" w:rsidRPr="007D7565">
        <w:rPr>
          <w:rFonts w:ascii="Arial" w:hAnsi="Arial" w:cs="Arial"/>
          <w:sz w:val="23"/>
          <w:szCs w:val="23"/>
        </w:rPr>
        <w:t xml:space="preserve">pode-se extrair que </w:t>
      </w:r>
      <w:r w:rsidR="007D7565">
        <w:rPr>
          <w:rFonts w:ascii="Arial" w:hAnsi="Arial" w:cs="Arial"/>
          <w:sz w:val="23"/>
          <w:szCs w:val="23"/>
        </w:rPr>
        <w:t xml:space="preserve">o </w:t>
      </w:r>
      <w:r w:rsidR="007D7565" w:rsidRPr="007D7565">
        <w:rPr>
          <w:rFonts w:ascii="Arial" w:hAnsi="Arial" w:cs="Arial"/>
          <w:sz w:val="23"/>
          <w:szCs w:val="23"/>
        </w:rPr>
        <w:t>planejamento é indispensável à validade e legitimidade constitucional da legislação relacionada ao desenvolvimento urbano.</w:t>
      </w:r>
      <w:r w:rsidR="007D7565">
        <w:rPr>
          <w:rFonts w:ascii="Arial" w:hAnsi="Arial" w:cs="Arial"/>
          <w:sz w:val="23"/>
          <w:szCs w:val="23"/>
        </w:rPr>
        <w:t xml:space="preserve"> </w:t>
      </w:r>
    </w:p>
    <w:p w:rsid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7D7565" w:rsidRP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A política urbana deve ser formulada no âmbito do processo de planejamento municipal, tendo-se como um de seus instrumentos o Código de Obras e Edificações. É isso que também se extrai do concurso de dispositivos adrede. </w:t>
      </w:r>
    </w:p>
    <w:p w:rsidR="007D7565" w:rsidRP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7D7565" w:rsidRP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7D7565">
        <w:rPr>
          <w:rFonts w:ascii="Arial" w:hAnsi="Arial" w:cs="Arial"/>
          <w:sz w:val="23"/>
          <w:szCs w:val="23"/>
        </w:rPr>
        <w:t>E não poderia ser diferente, vez que eventuais alterações nesta temática produzem significativas modificações na geografia e dinâmica urbana, seja em termos de mobilidade, saneamento, questões ambientais e outras, sendo imperiosa a elaboração de minucioso planejamento técnico destinado a apontar eventuais desdobramentos resultantes da mudança do ordenamento urbano.</w:t>
      </w:r>
    </w:p>
    <w:p w:rsidR="007D7565" w:rsidRP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D006DF" w:rsidRPr="007D7565" w:rsidRDefault="007D7565" w:rsidP="007D756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7D7565">
        <w:rPr>
          <w:rFonts w:ascii="Arial" w:hAnsi="Arial" w:cs="Arial"/>
          <w:sz w:val="23"/>
          <w:szCs w:val="23"/>
        </w:rPr>
        <w:t>Assim sendo, todo e qualquer regramento concernente ao zoneamento urbano, seja em sede inaugural ou em razão de futuras alterações necessárias no curso do desenvolvimento do território, deve levar em consideração a cidade em sua dimensão integral, dentro de um sistema de ordenamento urbanístico, razão pela qual a exigência de estudos técnicos se faz imprescindível.</w:t>
      </w:r>
    </w:p>
    <w:p w:rsidR="00F84076" w:rsidRDefault="00F84076" w:rsidP="00F8407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181662" w:rsidRDefault="00F84076" w:rsidP="00457074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81662" w:rsidRPr="00181662">
        <w:rPr>
          <w:rFonts w:ascii="Arial" w:hAnsi="Arial" w:cs="Arial"/>
          <w:sz w:val="23"/>
          <w:szCs w:val="23"/>
        </w:rPr>
        <w:t xml:space="preserve">Oportuno recordar, ademais, que o inciso VIII do art. 30 da Constituição Federal prevê a competência dos Municípios para “promover, no que couber, adequado ordenamento territorial, </w:t>
      </w:r>
      <w:r w:rsidR="00181662" w:rsidRPr="00A23F9E">
        <w:rPr>
          <w:rFonts w:ascii="Arial" w:hAnsi="Arial" w:cs="Arial"/>
          <w:sz w:val="23"/>
          <w:szCs w:val="23"/>
          <w:u w:val="single"/>
        </w:rPr>
        <w:t>mediante planejamento</w:t>
      </w:r>
      <w:r w:rsidR="00181662" w:rsidRPr="00181662">
        <w:rPr>
          <w:rFonts w:ascii="Arial" w:hAnsi="Arial" w:cs="Arial"/>
          <w:sz w:val="23"/>
          <w:szCs w:val="23"/>
        </w:rPr>
        <w:t xml:space="preserve"> e controle do uso, do parcelamento, e da </w:t>
      </w:r>
      <w:proofErr w:type="gramStart"/>
      <w:r w:rsidR="00181662" w:rsidRPr="00181662">
        <w:rPr>
          <w:rFonts w:ascii="Arial" w:hAnsi="Arial" w:cs="Arial"/>
          <w:sz w:val="23"/>
          <w:szCs w:val="23"/>
        </w:rPr>
        <w:t>ocupação</w:t>
      </w:r>
      <w:proofErr w:type="gramEnd"/>
      <w:r w:rsidR="00181662" w:rsidRPr="00181662">
        <w:rPr>
          <w:rFonts w:ascii="Arial" w:hAnsi="Arial" w:cs="Arial"/>
          <w:sz w:val="23"/>
          <w:szCs w:val="23"/>
        </w:rPr>
        <w:t xml:space="preserve"> do solo urbano”.</w:t>
      </w:r>
    </w:p>
    <w:p w:rsidR="00181662" w:rsidRDefault="00181662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41487D" w:rsidRDefault="00290E7C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81662" w:rsidRPr="00181662">
        <w:rPr>
          <w:rFonts w:ascii="Arial" w:hAnsi="Arial" w:cs="Arial"/>
          <w:sz w:val="23"/>
          <w:szCs w:val="23"/>
        </w:rPr>
        <w:t>Portanto, para que a norma urbanística tenha legitimidade e validade, deve necessariamente decorrer de um planejamento, definido como um processo técnico instrumentalizado para transformar a realidade existente de acordo com objetivos previamente estabelecidos.</w:t>
      </w:r>
    </w:p>
    <w:p w:rsidR="00181662" w:rsidRDefault="00181662" w:rsidP="006D10E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181662" w:rsidRPr="00181662" w:rsidRDefault="00290E7C" w:rsidP="00181662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E33086">
        <w:rPr>
          <w:rFonts w:ascii="Arial" w:hAnsi="Arial" w:cs="Arial"/>
          <w:sz w:val="23"/>
          <w:szCs w:val="23"/>
        </w:rPr>
        <w:t>Assim, q</w:t>
      </w:r>
      <w:r w:rsidR="00181662" w:rsidRPr="00181662">
        <w:rPr>
          <w:rFonts w:ascii="Arial" w:hAnsi="Arial" w:cs="Arial"/>
          <w:sz w:val="23"/>
          <w:szCs w:val="23"/>
        </w:rPr>
        <w:t>ualquer atividade urbanística busca a transformação e orientação da realidade das cidades, dando uma sistematização senão a ideal, pelo menos, a possível e mais adequada. Por esse motivo é que alterações das normas que regulam o uso e ocupação do solo dependem de um estudo que deve levar em conta a situação existente e os objetivos do poder público com respeito às características a dar a cidade, segundo as possibilidades atuais e futuras do seu desenvolvimento, tal como precisa ser com qualquer tipo de planejamento.</w:t>
      </w:r>
    </w:p>
    <w:p w:rsidR="00181662" w:rsidRPr="00181662" w:rsidRDefault="00181662" w:rsidP="00181662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181662" w:rsidRDefault="00290E7C" w:rsidP="00181662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</w:r>
      <w:r>
        <w:rPr>
          <w:rFonts w:ascii="Arial" w:hAnsi="Arial" w:cs="Arial"/>
          <w:sz w:val="23"/>
          <w:szCs w:val="23"/>
        </w:rPr>
        <w:tab/>
        <w:t>Ante o que fora exaustivamente exposto, sem o devido planejamento, tampouco estudos técnicos, o projeto – outrossim – é substancialmente inconstitucional por patente violação ao princípio do planejamento</w:t>
      </w:r>
      <w:r w:rsidR="00596D42">
        <w:rPr>
          <w:rFonts w:ascii="Arial" w:hAnsi="Arial" w:cs="Arial"/>
          <w:sz w:val="23"/>
          <w:szCs w:val="23"/>
        </w:rPr>
        <w:t xml:space="preserve">, o qual </w:t>
      </w:r>
      <w:r>
        <w:rPr>
          <w:rFonts w:ascii="Arial" w:hAnsi="Arial" w:cs="Arial"/>
          <w:sz w:val="23"/>
          <w:szCs w:val="23"/>
        </w:rPr>
        <w:t xml:space="preserve">circunda qualquer norma de cunho urbanístico. </w:t>
      </w:r>
    </w:p>
    <w:p w:rsidR="00290E7C" w:rsidRDefault="00290E7C" w:rsidP="00181662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i/>
          <w:sz w:val="23"/>
          <w:szCs w:val="23"/>
        </w:rPr>
        <w:t>Ipso facto</w:t>
      </w:r>
      <w:r>
        <w:rPr>
          <w:rFonts w:ascii="Arial" w:hAnsi="Arial" w:cs="Arial"/>
          <w:sz w:val="23"/>
          <w:szCs w:val="23"/>
        </w:rPr>
        <w:t xml:space="preserve">, não é outro o entendimento iterativo do Egrégio Órgão Especial do Tribunal de Justiça do Estado de São Paulo, o qual em casos análogos, </w:t>
      </w:r>
      <w:r>
        <w:rPr>
          <w:rFonts w:ascii="Arial" w:hAnsi="Arial" w:cs="Arial"/>
          <w:i/>
          <w:sz w:val="23"/>
          <w:szCs w:val="23"/>
        </w:rPr>
        <w:t xml:space="preserve">ipsis </w:t>
      </w:r>
      <w:proofErr w:type="spellStart"/>
      <w:r>
        <w:rPr>
          <w:rFonts w:ascii="Arial" w:hAnsi="Arial" w:cs="Arial"/>
          <w:i/>
          <w:sz w:val="23"/>
          <w:szCs w:val="23"/>
        </w:rPr>
        <w:t>verbis</w:t>
      </w:r>
      <w:proofErr w:type="spellEnd"/>
      <w:r>
        <w:rPr>
          <w:rFonts w:ascii="Arial" w:hAnsi="Arial" w:cs="Arial"/>
          <w:sz w:val="23"/>
          <w:szCs w:val="23"/>
        </w:rPr>
        <w:t>:</w:t>
      </w:r>
    </w:p>
    <w:p w:rsid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637350" w:rsidRPr="00637350" w:rsidRDefault="00637350" w:rsidP="00637350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637350">
        <w:rPr>
          <w:rFonts w:ascii="Arial" w:hAnsi="Arial" w:cs="Arial"/>
        </w:rPr>
        <w:t xml:space="preserve">AÇÃO DIRETA DE INCONSTITUCIONALIDADE – Lei Complementar nº 2.751, de 12 de janeiro de 2016, do Município de </w:t>
      </w:r>
      <w:r w:rsidRPr="00F03DDD">
        <w:rPr>
          <w:rFonts w:ascii="Arial" w:hAnsi="Arial" w:cs="Arial"/>
          <w:b/>
        </w:rPr>
        <w:t>Ribeirão Preto</w:t>
      </w:r>
      <w:r w:rsidRPr="00637350">
        <w:rPr>
          <w:rFonts w:ascii="Arial" w:hAnsi="Arial" w:cs="Arial"/>
        </w:rPr>
        <w:t>, que "</w:t>
      </w:r>
      <w:r w:rsidRPr="00F03DDD">
        <w:rPr>
          <w:rFonts w:ascii="Arial" w:hAnsi="Arial" w:cs="Arial"/>
          <w:b/>
        </w:rPr>
        <w:t>dispõe sobre regularização de construções</w:t>
      </w:r>
      <w:r w:rsidRPr="00637350">
        <w:rPr>
          <w:rFonts w:ascii="Arial" w:hAnsi="Arial" w:cs="Arial"/>
        </w:rPr>
        <w:t xml:space="preserve">, e dá outras providências" – Ato normativo que por seu conteúdo, </w:t>
      </w:r>
      <w:r w:rsidRPr="00F03DDD">
        <w:rPr>
          <w:rFonts w:ascii="Arial" w:hAnsi="Arial" w:cs="Arial"/>
          <w:b/>
        </w:rPr>
        <w:t>dependia de prévios estudos de planejamento</w:t>
      </w:r>
      <w:r w:rsidRPr="00637350">
        <w:rPr>
          <w:rFonts w:ascii="Arial" w:hAnsi="Arial" w:cs="Arial"/>
        </w:rPr>
        <w:t xml:space="preserve"> e efetiva participação popular, exigências reservadas às situações indicadas no artigo 181 da Constituição Estadual - Violação aos artigos 144, 180, inciso II, 181 e 191, da Constituição do Estado de São Paulo. Pedido procedente</w:t>
      </w:r>
      <w:r>
        <w:rPr>
          <w:rFonts w:ascii="Arial" w:hAnsi="Arial" w:cs="Arial"/>
        </w:rPr>
        <w:t>”</w:t>
      </w:r>
      <w:r w:rsidRPr="00637350">
        <w:rPr>
          <w:rFonts w:ascii="Arial" w:hAnsi="Arial" w:cs="Arial"/>
        </w:rPr>
        <w:t>. (</w:t>
      </w:r>
      <w:proofErr w:type="gramStart"/>
      <w:r w:rsidRPr="00637350">
        <w:rPr>
          <w:rFonts w:ascii="Arial" w:hAnsi="Arial" w:cs="Arial"/>
        </w:rPr>
        <w:t>TJSP;  Direta</w:t>
      </w:r>
      <w:proofErr w:type="gramEnd"/>
      <w:r w:rsidRPr="00637350">
        <w:rPr>
          <w:rFonts w:ascii="Arial" w:hAnsi="Arial" w:cs="Arial"/>
        </w:rPr>
        <w:t xml:space="preserve"> de Inconstitucionalidade 2227144-72.2016.8.26.0000; Relator (a): Ricardo Anafe; Órgão Julgador: Órgão Especial; Tribunal de Justiça de São Paulo - N/A; Data do Julgamento: 21/06/2017; Data de Registro: 22/06/2017)</w:t>
      </w:r>
      <w:r w:rsidR="00F03DDD">
        <w:rPr>
          <w:rFonts w:ascii="Arial" w:hAnsi="Arial" w:cs="Arial"/>
        </w:rPr>
        <w:t>. (</w:t>
      </w:r>
      <w:proofErr w:type="gramStart"/>
      <w:r w:rsidR="00F03DDD" w:rsidRPr="00F03DDD">
        <w:rPr>
          <w:rFonts w:ascii="Arial" w:hAnsi="Arial" w:cs="Arial"/>
          <w:b/>
        </w:rPr>
        <w:t>grifos</w:t>
      </w:r>
      <w:proofErr w:type="gramEnd"/>
      <w:r w:rsidR="00F03DDD" w:rsidRPr="00F03DDD">
        <w:rPr>
          <w:rFonts w:ascii="Arial" w:hAnsi="Arial" w:cs="Arial"/>
          <w:b/>
        </w:rPr>
        <w:t xml:space="preserve"> nossos</w:t>
      </w:r>
      <w:r w:rsidR="00F03DDD">
        <w:rPr>
          <w:rFonts w:ascii="Arial" w:hAnsi="Arial" w:cs="Arial"/>
        </w:rPr>
        <w:t xml:space="preserve">) 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F421FB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290E7C">
        <w:rPr>
          <w:rFonts w:ascii="Arial" w:hAnsi="Arial" w:cs="Arial"/>
        </w:rPr>
        <w:t xml:space="preserve">“AÇÃO DIRETA DE INCONSTITUCIONALIDADE – Lei Complementar nº 112, de 17 de julho de 2015, de </w:t>
      </w:r>
      <w:r w:rsidRPr="00F03DDD">
        <w:rPr>
          <w:rFonts w:ascii="Arial" w:hAnsi="Arial" w:cs="Arial"/>
          <w:b/>
        </w:rPr>
        <w:t>Campinas</w:t>
      </w:r>
      <w:r w:rsidRPr="00290E7C">
        <w:rPr>
          <w:rFonts w:ascii="Arial" w:hAnsi="Arial" w:cs="Arial"/>
        </w:rPr>
        <w:t xml:space="preserve">, que dispõe sobre a </w:t>
      </w:r>
      <w:r w:rsidRPr="00217685">
        <w:rPr>
          <w:rFonts w:ascii="Arial" w:hAnsi="Arial" w:cs="Arial"/>
          <w:b/>
        </w:rPr>
        <w:t>regularização de construções clandestinas e/ou irregularidades na cidade de Ibitinga</w:t>
      </w:r>
      <w:r w:rsidRPr="00290E7C">
        <w:rPr>
          <w:rFonts w:ascii="Arial" w:hAnsi="Arial" w:cs="Arial"/>
        </w:rPr>
        <w:t xml:space="preserve"> e dá outras providências – Realização de audiência pública em conformidade com os preceitos da Constituição Estadual – </w:t>
      </w:r>
      <w:r w:rsidRPr="00217685">
        <w:rPr>
          <w:rFonts w:ascii="Arial" w:hAnsi="Arial" w:cs="Arial"/>
          <w:b/>
        </w:rPr>
        <w:t>Processos legislativos respectivos desprovidos de planejamento e estudo técnico de adequação das alterações impostas</w:t>
      </w:r>
      <w:r w:rsidRPr="00290E7C">
        <w:rPr>
          <w:rFonts w:ascii="Arial" w:hAnsi="Arial" w:cs="Arial"/>
        </w:rPr>
        <w:t>, bem como não submetidos à apreciação popular exigências constitucionalmente inerentes às normas de direito urbanístico contraste aos artigos 180, e 191 da Constituição Bandeirante - Precedentes Do C. Órgão Especial - Ação procedente, com modulação dos efeitos. (Ação Direta de Inconstitucionalidade nº 2114028-88.2016.8.26.0000, Rel. Des. Antonio Carlos Malheiros, j. 16.089.16).</w:t>
      </w:r>
      <w:r w:rsidR="00F421FB">
        <w:rPr>
          <w:rFonts w:ascii="Arial" w:hAnsi="Arial" w:cs="Arial"/>
        </w:rPr>
        <w:t xml:space="preserve"> (</w:t>
      </w:r>
      <w:proofErr w:type="gramStart"/>
      <w:r w:rsidR="00F421FB">
        <w:rPr>
          <w:rFonts w:ascii="Arial" w:hAnsi="Arial" w:cs="Arial"/>
          <w:b/>
        </w:rPr>
        <w:t>grifos</w:t>
      </w:r>
      <w:proofErr w:type="gramEnd"/>
      <w:r w:rsidR="00F421FB">
        <w:rPr>
          <w:rFonts w:ascii="Arial" w:hAnsi="Arial" w:cs="Arial"/>
          <w:b/>
        </w:rPr>
        <w:t xml:space="preserve"> nossos</w:t>
      </w:r>
      <w:r w:rsidR="00F421FB">
        <w:rPr>
          <w:rFonts w:ascii="Arial" w:hAnsi="Arial" w:cs="Arial"/>
        </w:rPr>
        <w:t>)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290E7C">
        <w:rPr>
          <w:rFonts w:ascii="Arial" w:hAnsi="Arial" w:cs="Arial"/>
          <w:sz w:val="23"/>
          <w:szCs w:val="23"/>
        </w:rPr>
        <w:t>Vale a pena destacar parte do voto proferido pelo DD. Desembargador Relator</w:t>
      </w:r>
      <w:r w:rsidR="00F03DDD">
        <w:rPr>
          <w:rFonts w:ascii="Arial" w:hAnsi="Arial" w:cs="Arial"/>
          <w:sz w:val="23"/>
          <w:szCs w:val="23"/>
        </w:rPr>
        <w:t xml:space="preserve"> no bojo deste último julgado</w:t>
      </w:r>
      <w:r w:rsidRPr="00290E7C">
        <w:rPr>
          <w:rFonts w:ascii="Arial" w:hAnsi="Arial" w:cs="Arial"/>
          <w:sz w:val="23"/>
          <w:szCs w:val="23"/>
        </w:rPr>
        <w:t>: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290E7C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290E7C">
        <w:rPr>
          <w:rFonts w:ascii="Arial" w:hAnsi="Arial" w:cs="Arial"/>
        </w:rPr>
        <w:t>“(...) a participação da população em audiência pública e ou debates, visa o interesse da coletividade, com enfoque nas melhorias e obras de mobilidade urbana, e também, visa fornecer dados técnicos à fase de Metodologia. Faz-se mister elucidar, que nesta etapa, a audiência, não é um referendo. Onde a população é consultada sobre a apresentação de um projeto pré-estabelecido, pelos técnicos, que, muitas das vezes, são profissionais escolhidos para elaborar e elencar os dados técnicos do município, com base em documentos técnicos contidos na prefeitura e levantamento de pesquisa realizado por órgão público. Assim, a participação popular, nesta fase, é muito importante no tocante a leitura técnica. Onde deveria haver o confronto da referida leitura, produzida pelos técnicos, com a realidade municipal. Através de debates da população menos favorecida. Evitando que os estudos sejam voltados apenas para uma parcela da sociedade.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</w:p>
    <w:p w:rsidR="00290E7C" w:rsidRPr="00290E7C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290E7C">
        <w:rPr>
          <w:rFonts w:ascii="Arial" w:hAnsi="Arial" w:cs="Arial"/>
        </w:rPr>
        <w:t>(...)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</w:p>
    <w:p w:rsidR="00290E7C" w:rsidRPr="00290E7C" w:rsidRDefault="00290E7C" w:rsidP="00290E7C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290E7C">
        <w:rPr>
          <w:rFonts w:ascii="Arial" w:hAnsi="Arial" w:cs="Arial"/>
          <w:b/>
        </w:rPr>
        <w:t xml:space="preserve">O planejamento não é mais um processo discricionário e dependente da mera vontade dos administradores. É uma previsão e exigência </w:t>
      </w:r>
      <w:r w:rsidRPr="00290E7C">
        <w:rPr>
          <w:rFonts w:ascii="Arial" w:hAnsi="Arial" w:cs="Arial"/>
          <w:b/>
        </w:rPr>
        <w:lastRenderedPageBreak/>
        <w:t>constitucional (Art. 48, IV, 182, da CF e art. 180, II, da CE). Tornou-se imposição jurídica, mediante a obrigação de elaborar planos, estudos quando se trate da elaboração normativa relativa ao estabelecimento de diretrizes e normas relativas ao desenvolvimento urbano</w:t>
      </w:r>
      <w:r w:rsidRPr="00290E7C">
        <w:rPr>
          <w:rFonts w:ascii="Arial" w:hAnsi="Arial" w:cs="Arial"/>
        </w:rPr>
        <w:t>” (</w:t>
      </w:r>
      <w:r w:rsidRPr="00F421FB">
        <w:rPr>
          <w:rFonts w:ascii="Arial" w:hAnsi="Arial" w:cs="Arial"/>
          <w:b/>
        </w:rPr>
        <w:t>grifo nosso</w:t>
      </w:r>
      <w:r w:rsidRPr="00290E7C">
        <w:rPr>
          <w:rFonts w:ascii="Arial" w:hAnsi="Arial" w:cs="Arial"/>
        </w:rPr>
        <w:t>).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290E7C" w:rsidRDefault="009B6381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90E7C" w:rsidRPr="00290E7C">
        <w:rPr>
          <w:rFonts w:ascii="Arial" w:hAnsi="Arial" w:cs="Arial"/>
          <w:sz w:val="23"/>
          <w:szCs w:val="23"/>
        </w:rPr>
        <w:t>No mesmo sentido foi o julgamento da Ação Direta de Inconstitucionalidade nº 2007245-72.2016.8.26.0000, julgada em 11 de maio de 2016, Rel. Des. Ricardo Anafe, na qual esse E. Órgão Especial assim entendeu: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9B6381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9B6381">
        <w:rPr>
          <w:rFonts w:ascii="Arial" w:hAnsi="Arial" w:cs="Arial"/>
        </w:rPr>
        <w:t xml:space="preserve">“AÇÃO DIRETA DE INCONSTITUCIONALIDADE Lei Complementar nº 112, de 17 de julho de 2015, do Município de Campinas que dispõe sobre a </w:t>
      </w:r>
      <w:r w:rsidRPr="00217685">
        <w:rPr>
          <w:rFonts w:ascii="Arial" w:hAnsi="Arial" w:cs="Arial"/>
          <w:b/>
        </w:rPr>
        <w:t>regularização de construções clandestinas e/ou irregularidades na cidade</w:t>
      </w:r>
      <w:r w:rsidRPr="009B6381">
        <w:rPr>
          <w:rFonts w:ascii="Arial" w:hAnsi="Arial" w:cs="Arial"/>
        </w:rPr>
        <w:t xml:space="preserve"> </w:t>
      </w:r>
      <w:r w:rsidRPr="00217685">
        <w:rPr>
          <w:rFonts w:ascii="Arial" w:hAnsi="Arial" w:cs="Arial"/>
          <w:b/>
        </w:rPr>
        <w:t>Matéria relativa à Administração Municipal, de iniciativa reservada ao Chefe do Poder Executivo</w:t>
      </w:r>
      <w:r w:rsidRPr="009B6381">
        <w:rPr>
          <w:rFonts w:ascii="Arial" w:hAnsi="Arial" w:cs="Arial"/>
        </w:rPr>
        <w:t xml:space="preserve"> - Ato normativo que por seu conteúdo, </w:t>
      </w:r>
      <w:r w:rsidRPr="00217685">
        <w:rPr>
          <w:rFonts w:ascii="Arial" w:hAnsi="Arial" w:cs="Arial"/>
          <w:b/>
        </w:rPr>
        <w:t>dependia de prévios estudos de planejamento</w:t>
      </w:r>
      <w:r w:rsidRPr="009B6381">
        <w:rPr>
          <w:rFonts w:ascii="Arial" w:hAnsi="Arial" w:cs="Arial"/>
        </w:rPr>
        <w:t xml:space="preserve"> e efetiva participação popular, exigências reservadas às situações indicadas no artigo 181 da Constituição Estadual - Violação aos artigos 47, incisos II e XIV, 144, 180, inciso II, 181 e 191, todos da Constituição Estadual - Modulação dos efeitos (</w:t>
      </w:r>
      <w:proofErr w:type="spellStart"/>
      <w:r w:rsidRPr="009B6381">
        <w:rPr>
          <w:rFonts w:ascii="Arial" w:hAnsi="Arial" w:cs="Arial"/>
        </w:rPr>
        <w:t>ex</w:t>
      </w:r>
      <w:proofErr w:type="spellEnd"/>
      <w:r w:rsidRPr="009B6381">
        <w:rPr>
          <w:rFonts w:ascii="Arial" w:hAnsi="Arial" w:cs="Arial"/>
        </w:rPr>
        <w:t xml:space="preserve"> nunc). Pedido procedente, com modulação” (</w:t>
      </w:r>
      <w:r w:rsidRPr="00F421FB">
        <w:rPr>
          <w:rFonts w:ascii="Arial" w:hAnsi="Arial" w:cs="Arial"/>
          <w:b/>
        </w:rPr>
        <w:t>grifo nosso</w:t>
      </w:r>
      <w:r w:rsidRPr="009B6381">
        <w:rPr>
          <w:rFonts w:ascii="Arial" w:hAnsi="Arial" w:cs="Arial"/>
        </w:rPr>
        <w:t>).</w:t>
      </w:r>
    </w:p>
    <w:p w:rsidR="00290E7C" w:rsidRPr="009B6381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</w:p>
    <w:p w:rsidR="00290E7C" w:rsidRPr="00290E7C" w:rsidRDefault="009B6381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90E7C" w:rsidRPr="00290E7C">
        <w:rPr>
          <w:rFonts w:ascii="Arial" w:hAnsi="Arial" w:cs="Arial"/>
          <w:sz w:val="23"/>
          <w:szCs w:val="23"/>
        </w:rPr>
        <w:t xml:space="preserve">No referido acórdão prolatado, consignou-se, </w:t>
      </w:r>
      <w:proofErr w:type="spellStart"/>
      <w:r w:rsidR="00290E7C" w:rsidRPr="00296C8C">
        <w:rPr>
          <w:rFonts w:ascii="Arial" w:hAnsi="Arial" w:cs="Arial"/>
          <w:i/>
          <w:sz w:val="23"/>
          <w:szCs w:val="23"/>
        </w:rPr>
        <w:t>verbis</w:t>
      </w:r>
      <w:proofErr w:type="spellEnd"/>
      <w:r w:rsidR="00290E7C" w:rsidRPr="00290E7C">
        <w:rPr>
          <w:rFonts w:ascii="Arial" w:hAnsi="Arial" w:cs="Arial"/>
          <w:sz w:val="23"/>
          <w:szCs w:val="23"/>
        </w:rPr>
        <w:t>:</w:t>
      </w:r>
    </w:p>
    <w:p w:rsidR="00290E7C" w:rsidRPr="00290E7C" w:rsidRDefault="00290E7C" w:rsidP="00290E7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290E7C" w:rsidRPr="00634D64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634D64">
        <w:rPr>
          <w:rFonts w:ascii="Arial" w:hAnsi="Arial" w:cs="Arial"/>
        </w:rPr>
        <w:t>“É, pois, inegável a direta interferência no planejamento urbano do Município, ao dispor sobre a regularização de construções clandestinas e/ou irregulares na cidade, sem o necessário e prévio estudo administrativo, a que o Poder Executivo é o único habilitado a promover, vale dizer, relacionada com o uso e ocupação do solo, a iniciativa legislativa sobre a matéria é do Prefeito, porque depende de estudos prévios e técnicos que só o Poder Executivo Municipal pode realizar.</w:t>
      </w:r>
    </w:p>
    <w:p w:rsidR="00290E7C" w:rsidRPr="00634D64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</w:p>
    <w:p w:rsidR="00290E7C" w:rsidRPr="00634D64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634D64">
        <w:rPr>
          <w:rFonts w:ascii="Arial" w:hAnsi="Arial" w:cs="Arial"/>
        </w:rPr>
        <w:t>(...)</w:t>
      </w:r>
    </w:p>
    <w:p w:rsidR="00290E7C" w:rsidRPr="00634D64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</w:p>
    <w:p w:rsidR="0041487D" w:rsidRPr="00634D64" w:rsidRDefault="00290E7C" w:rsidP="009B6381">
      <w:pPr>
        <w:tabs>
          <w:tab w:val="left" w:pos="709"/>
          <w:tab w:val="left" w:pos="1418"/>
        </w:tabs>
        <w:ind w:left="2268"/>
        <w:jc w:val="both"/>
        <w:rPr>
          <w:rFonts w:ascii="Arial" w:hAnsi="Arial" w:cs="Arial"/>
        </w:rPr>
      </w:pPr>
      <w:r w:rsidRPr="00634D64">
        <w:rPr>
          <w:rFonts w:ascii="Arial" w:hAnsi="Arial" w:cs="Arial"/>
          <w:b/>
        </w:rPr>
        <w:t>Também não há informação de estudos prévios a recomendar a elaboração do projeto e, se não os há, não se poderia cogitar da participação de entidades comunitárias na sua elaboração.”</w:t>
      </w:r>
      <w:r w:rsidR="00634D64" w:rsidRPr="00634D64">
        <w:rPr>
          <w:rFonts w:ascii="Arial" w:hAnsi="Arial" w:cs="Arial"/>
        </w:rPr>
        <w:t xml:space="preserve"> </w:t>
      </w:r>
      <w:r w:rsidRPr="00634D64">
        <w:rPr>
          <w:rFonts w:ascii="Arial" w:hAnsi="Arial" w:cs="Arial"/>
        </w:rPr>
        <w:t>(</w:t>
      </w:r>
      <w:proofErr w:type="gramStart"/>
      <w:r w:rsidRPr="00F421FB">
        <w:rPr>
          <w:rFonts w:ascii="Arial" w:hAnsi="Arial" w:cs="Arial"/>
          <w:b/>
        </w:rPr>
        <w:t>grifo</w:t>
      </w:r>
      <w:proofErr w:type="gramEnd"/>
      <w:r w:rsidRPr="00F421FB">
        <w:rPr>
          <w:rFonts w:ascii="Arial" w:hAnsi="Arial" w:cs="Arial"/>
          <w:b/>
        </w:rPr>
        <w:t xml:space="preserve"> nosso</w:t>
      </w:r>
      <w:r w:rsidRPr="00634D64">
        <w:rPr>
          <w:rFonts w:ascii="Arial" w:hAnsi="Arial" w:cs="Arial"/>
        </w:rPr>
        <w:t>).</w:t>
      </w:r>
    </w:p>
    <w:p w:rsidR="00A3335E" w:rsidRDefault="00A3335E" w:rsidP="00A3335E">
      <w:pPr>
        <w:tabs>
          <w:tab w:val="left" w:pos="709"/>
          <w:tab w:val="left" w:pos="1418"/>
        </w:tabs>
        <w:jc w:val="both"/>
        <w:rPr>
          <w:rFonts w:ascii="Arial" w:hAnsi="Arial" w:cs="Arial"/>
          <w:sz w:val="23"/>
          <w:szCs w:val="23"/>
        </w:rPr>
      </w:pPr>
    </w:p>
    <w:p w:rsidR="007F4886" w:rsidRPr="00D16E1A" w:rsidRDefault="00A3335E" w:rsidP="007F488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14748" w:rsidRPr="00D16E1A">
        <w:rPr>
          <w:rFonts w:ascii="Arial" w:hAnsi="Arial" w:cs="Arial"/>
          <w:i/>
          <w:sz w:val="23"/>
          <w:szCs w:val="23"/>
        </w:rPr>
        <w:t>Post omnes</w:t>
      </w:r>
      <w:r w:rsidR="007F4886" w:rsidRPr="00D16E1A">
        <w:rPr>
          <w:rFonts w:ascii="Arial" w:hAnsi="Arial" w:cs="Arial"/>
          <w:sz w:val="23"/>
          <w:szCs w:val="23"/>
        </w:rPr>
        <w:t>, o Projeto de Lei Complementar nº 00</w:t>
      </w:r>
      <w:r w:rsidR="006B075B">
        <w:rPr>
          <w:rFonts w:ascii="Arial" w:hAnsi="Arial" w:cs="Arial"/>
          <w:sz w:val="23"/>
          <w:szCs w:val="23"/>
        </w:rPr>
        <w:t>5</w:t>
      </w:r>
      <w:r w:rsidR="007F4886" w:rsidRPr="00D16E1A">
        <w:rPr>
          <w:rFonts w:ascii="Arial" w:hAnsi="Arial" w:cs="Arial"/>
          <w:sz w:val="23"/>
          <w:szCs w:val="23"/>
        </w:rPr>
        <w:t>/2020</w:t>
      </w:r>
      <w:r w:rsidR="00B10682">
        <w:rPr>
          <w:rFonts w:ascii="Arial" w:hAnsi="Arial" w:cs="Arial"/>
          <w:sz w:val="23"/>
          <w:szCs w:val="23"/>
        </w:rPr>
        <w:t>, acompanhado de substitutivo,</w:t>
      </w:r>
      <w:r w:rsidR="007F4886" w:rsidRPr="00D16E1A">
        <w:rPr>
          <w:rFonts w:ascii="Arial" w:hAnsi="Arial" w:cs="Arial"/>
          <w:sz w:val="23"/>
          <w:szCs w:val="23"/>
        </w:rPr>
        <w:t xml:space="preserve"> é </w:t>
      </w:r>
      <w:r w:rsidR="006B075B">
        <w:rPr>
          <w:rFonts w:ascii="Arial" w:hAnsi="Arial" w:cs="Arial"/>
          <w:sz w:val="23"/>
          <w:szCs w:val="23"/>
        </w:rPr>
        <w:t>descaradamente in</w:t>
      </w:r>
      <w:r w:rsidR="007F4886" w:rsidRPr="00D16E1A">
        <w:rPr>
          <w:rFonts w:ascii="Arial" w:hAnsi="Arial" w:cs="Arial"/>
          <w:sz w:val="23"/>
          <w:szCs w:val="23"/>
        </w:rPr>
        <w:t xml:space="preserve">constitucional, </w:t>
      </w:r>
      <w:r w:rsidR="006B075B">
        <w:rPr>
          <w:rFonts w:ascii="Arial" w:hAnsi="Arial" w:cs="Arial"/>
          <w:sz w:val="23"/>
          <w:szCs w:val="23"/>
        </w:rPr>
        <w:t>seja do ponto de vista formal seja do material, razão pela qual não deve</w:t>
      </w:r>
      <w:r w:rsidR="007F4886" w:rsidRPr="00D16E1A">
        <w:rPr>
          <w:rFonts w:ascii="Arial" w:hAnsi="Arial" w:cs="Arial"/>
          <w:sz w:val="23"/>
          <w:szCs w:val="23"/>
        </w:rPr>
        <w:t xml:space="preserve"> prosperar pelas razões aqui ventiladas, por isto. </w:t>
      </w:r>
    </w:p>
    <w:p w:rsidR="007F4886" w:rsidRPr="00D16E1A" w:rsidRDefault="007F4886" w:rsidP="007F488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 w:rsidRPr="00D16E1A">
        <w:rPr>
          <w:rFonts w:ascii="Arial" w:hAnsi="Arial" w:cs="Arial"/>
          <w:sz w:val="23"/>
          <w:szCs w:val="23"/>
        </w:rPr>
        <w:tab/>
      </w:r>
    </w:p>
    <w:p w:rsidR="007F4886" w:rsidRPr="00D16E1A" w:rsidRDefault="007F4886" w:rsidP="006B075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 w:rsidRPr="00D16E1A">
        <w:rPr>
          <w:rFonts w:ascii="Arial" w:hAnsi="Arial" w:cs="Arial"/>
          <w:sz w:val="23"/>
          <w:szCs w:val="23"/>
        </w:rPr>
        <w:tab/>
      </w:r>
      <w:r w:rsidRPr="00D16E1A">
        <w:rPr>
          <w:rFonts w:ascii="Arial" w:hAnsi="Arial" w:cs="Arial"/>
          <w:sz w:val="23"/>
          <w:szCs w:val="23"/>
        </w:rPr>
        <w:tab/>
        <w:t>Quanto ao mérito, o plenário – soberano – decidirá.</w:t>
      </w:r>
    </w:p>
    <w:p w:rsidR="007F4886" w:rsidRPr="00D16E1A" w:rsidRDefault="007F4886" w:rsidP="007F488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B5377C" w:rsidRPr="00D16E1A" w:rsidRDefault="00B5377C" w:rsidP="007F488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3"/>
          <w:szCs w:val="23"/>
        </w:rPr>
      </w:pPr>
      <w:r w:rsidRPr="00D16E1A">
        <w:rPr>
          <w:rFonts w:ascii="Arial" w:hAnsi="Arial" w:cs="Arial"/>
          <w:sz w:val="23"/>
          <w:szCs w:val="23"/>
        </w:rPr>
        <w:tab/>
      </w:r>
      <w:r w:rsidRPr="00D16E1A">
        <w:rPr>
          <w:rFonts w:ascii="Arial" w:hAnsi="Arial" w:cs="Arial"/>
          <w:sz w:val="23"/>
          <w:szCs w:val="23"/>
        </w:rPr>
        <w:tab/>
        <w:t>É o parecer.</w:t>
      </w:r>
    </w:p>
    <w:p w:rsidR="009C4CAF" w:rsidRPr="00D16E1A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3"/>
          <w:szCs w:val="23"/>
        </w:rPr>
      </w:pPr>
    </w:p>
    <w:p w:rsidR="00381E73" w:rsidRPr="00D16E1A" w:rsidRDefault="00D16E1A" w:rsidP="00D16E1A">
      <w:pPr>
        <w:ind w:left="34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                    </w:t>
      </w:r>
      <w:r w:rsidR="00381E73" w:rsidRPr="00D16E1A">
        <w:rPr>
          <w:rFonts w:ascii="Arial" w:hAnsi="Arial" w:cs="Arial"/>
          <w:bCs/>
          <w:sz w:val="23"/>
          <w:szCs w:val="23"/>
        </w:rPr>
        <w:t>Sala de reuniões das comissões, ______________________</w:t>
      </w:r>
    </w:p>
    <w:p w:rsidR="00D16E1A" w:rsidRDefault="00D16E1A" w:rsidP="00465A82">
      <w:pPr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D74F4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381E73" w:rsidRDefault="00381E73" w:rsidP="00A3335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E50764" w:rsidRDefault="00E50764" w:rsidP="00A3335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D74F43" w:rsidP="00197165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Lucas Grecc</w:t>
      </w:r>
      <w:r w:rsidR="00B5377C">
        <w:rPr>
          <w:rFonts w:ascii="Arial" w:hAnsi="Arial" w:cs="Arial"/>
          <w:b/>
          <w:bCs/>
          <w:sz w:val="24"/>
          <w:szCs w:val="24"/>
        </w:rPr>
        <w:t>o</w:t>
      </w:r>
    </w:p>
    <w:sectPr w:rsidR="00B02439" w:rsidRPr="007E0248" w:rsidSect="00956DD8">
      <w:headerReference w:type="default" r:id="rId6"/>
      <w:footerReference w:type="default" r:id="rId7"/>
      <w:pgSz w:w="11907" w:h="16840" w:code="9"/>
      <w:pgMar w:top="1701" w:right="1134" w:bottom="1134" w:left="1701" w:header="709" w:footer="40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25" w:rsidRDefault="00BD0A25" w:rsidP="00292D27">
      <w:r>
        <w:separator/>
      </w:r>
    </w:p>
  </w:endnote>
  <w:endnote w:type="continuationSeparator" w:id="0">
    <w:p w:rsidR="00BD0A25" w:rsidRDefault="00BD0A25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AFC" w:rsidRPr="00956DD8" w:rsidRDefault="00BB6AFC" w:rsidP="00BB6AFC">
    <w:pPr>
      <w:pStyle w:val="Rodap"/>
      <w:jc w:val="center"/>
      <w:rPr>
        <w:rFonts w:ascii="Cambria" w:hAnsi="Cambria"/>
        <w:b/>
        <w:szCs w:val="24"/>
      </w:rPr>
    </w:pPr>
    <w:r w:rsidRPr="00956DD8">
      <w:rPr>
        <w:rFonts w:ascii="Cambria" w:hAnsi="Cambria"/>
        <w:b/>
        <w:szCs w:val="24"/>
      </w:rPr>
      <w:t>_________________________________________________________________________________</w:t>
    </w:r>
  </w:p>
  <w:p w:rsidR="00BB6AFC" w:rsidRPr="00956DD8" w:rsidRDefault="00BB6AFC" w:rsidP="00BB6AFC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Rua São Bento, 887, Centro, Araraquara - SP, CEP 14801-300</w:t>
    </w:r>
  </w:p>
  <w:p w:rsidR="00BB6AFC" w:rsidRPr="00B97285" w:rsidRDefault="00BB6AFC" w:rsidP="00BB6AFC">
    <w:pPr>
      <w:pStyle w:val="Rodap"/>
      <w:jc w:val="center"/>
      <w:rPr>
        <w:rFonts w:ascii="Cambria" w:hAnsi="Cambria"/>
      </w:rPr>
    </w:pPr>
    <w:r w:rsidRPr="00B97285">
      <w:rPr>
        <w:rFonts w:ascii="Cambria" w:hAnsi="Cambria"/>
      </w:rPr>
      <w:t>www.camara-arq.sp.gov.br</w:t>
    </w:r>
  </w:p>
  <w:p w:rsidR="00BB6AFC" w:rsidRPr="00B97285" w:rsidRDefault="00BB6AFC">
    <w:pPr>
      <w:pStyle w:val="Rodap"/>
      <w:jc w:val="right"/>
      <w:rPr>
        <w:rFonts w:ascii="Cambria" w:hAnsi="Cambria"/>
      </w:rPr>
    </w:pPr>
    <w:r w:rsidRPr="00B97285">
      <w:rPr>
        <w:rFonts w:ascii="Cambria" w:hAnsi="Cambria"/>
      </w:rPr>
      <w:t xml:space="preserve">Página </w:t>
    </w:r>
    <w:r w:rsidRPr="00B97285">
      <w:rPr>
        <w:rFonts w:ascii="Cambria" w:hAnsi="Cambria"/>
        <w:b/>
        <w:bCs/>
      </w:rPr>
      <w:fldChar w:fldCharType="begin"/>
    </w:r>
    <w:r w:rsidRPr="00B97285">
      <w:rPr>
        <w:rFonts w:ascii="Cambria" w:hAnsi="Cambria"/>
        <w:b/>
        <w:bCs/>
      </w:rPr>
      <w:instrText>PAGE</w:instrText>
    </w:r>
    <w:r w:rsidRPr="00B97285">
      <w:rPr>
        <w:rFonts w:ascii="Cambria" w:hAnsi="Cambria"/>
        <w:b/>
        <w:bCs/>
      </w:rPr>
      <w:fldChar w:fldCharType="separate"/>
    </w:r>
    <w:r w:rsidR="00E50764">
      <w:rPr>
        <w:rFonts w:ascii="Cambria" w:hAnsi="Cambria"/>
        <w:b/>
        <w:bCs/>
        <w:noProof/>
      </w:rPr>
      <w:t>2</w:t>
    </w:r>
    <w:r w:rsidRPr="00B97285">
      <w:rPr>
        <w:rFonts w:ascii="Cambria" w:hAnsi="Cambria"/>
        <w:b/>
        <w:bCs/>
      </w:rPr>
      <w:fldChar w:fldCharType="end"/>
    </w:r>
    <w:r w:rsidRPr="00B97285">
      <w:rPr>
        <w:rFonts w:ascii="Cambria" w:hAnsi="Cambria"/>
      </w:rPr>
      <w:t xml:space="preserve"> de </w:t>
    </w:r>
    <w:r w:rsidRPr="00B97285">
      <w:rPr>
        <w:rFonts w:ascii="Cambria" w:hAnsi="Cambria"/>
        <w:b/>
        <w:bCs/>
      </w:rPr>
      <w:fldChar w:fldCharType="begin"/>
    </w:r>
    <w:r w:rsidRPr="00B97285">
      <w:rPr>
        <w:rFonts w:ascii="Cambria" w:hAnsi="Cambria"/>
        <w:b/>
        <w:bCs/>
      </w:rPr>
      <w:instrText>NUMPAGES</w:instrText>
    </w:r>
    <w:r w:rsidRPr="00B97285">
      <w:rPr>
        <w:rFonts w:ascii="Cambria" w:hAnsi="Cambria"/>
        <w:b/>
        <w:bCs/>
      </w:rPr>
      <w:fldChar w:fldCharType="separate"/>
    </w:r>
    <w:r w:rsidR="00E50764">
      <w:rPr>
        <w:rFonts w:ascii="Cambria" w:hAnsi="Cambria"/>
        <w:b/>
        <w:bCs/>
        <w:noProof/>
      </w:rPr>
      <w:t>4</w:t>
    </w:r>
    <w:r w:rsidRPr="00B97285">
      <w:rPr>
        <w:rFonts w:ascii="Cambria" w:hAnsi="Cambri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25" w:rsidRDefault="00BD0A25" w:rsidP="00292D27">
      <w:r>
        <w:separator/>
      </w:r>
    </w:p>
  </w:footnote>
  <w:footnote w:type="continuationSeparator" w:id="0">
    <w:p w:rsidR="00BD0A25" w:rsidRDefault="00BD0A25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Default="00722164" w:rsidP="00A16A83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-205105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DD8" w:rsidRPr="00956DD8">
      <w:rPr>
        <w:rFonts w:ascii="Cambria" w:hAnsi="Cambria"/>
        <w:smallCaps/>
        <w:color w:val="548DD4"/>
        <w:sz w:val="50"/>
      </w:rPr>
      <w:t>Câmara Municipal de Araraquara</w:t>
    </w:r>
  </w:p>
  <w:p w:rsidR="00956DD8" w:rsidRPr="001E186C" w:rsidRDefault="00956DD8" w:rsidP="00956DD8">
    <w:pPr>
      <w:ind w:firstLine="1418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956DD8" w:rsidRDefault="00956DD8" w:rsidP="00956DD8">
    <w:pPr>
      <w:pStyle w:val="Cabealho"/>
    </w:pPr>
  </w:p>
  <w:p w:rsidR="00381E73" w:rsidRPr="00956DD8" w:rsidRDefault="00381E73" w:rsidP="00956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401CA"/>
    <w:rsid w:val="00054884"/>
    <w:rsid w:val="0005636F"/>
    <w:rsid w:val="00064ECE"/>
    <w:rsid w:val="000743FB"/>
    <w:rsid w:val="000B1E61"/>
    <w:rsid w:val="00114748"/>
    <w:rsid w:val="00114DCF"/>
    <w:rsid w:val="00141F5B"/>
    <w:rsid w:val="0016222B"/>
    <w:rsid w:val="00181662"/>
    <w:rsid w:val="00184A5B"/>
    <w:rsid w:val="00193B15"/>
    <w:rsid w:val="00197165"/>
    <w:rsid w:val="001A3951"/>
    <w:rsid w:val="001E186C"/>
    <w:rsid w:val="001E6743"/>
    <w:rsid w:val="001F29F0"/>
    <w:rsid w:val="002033EF"/>
    <w:rsid w:val="00205243"/>
    <w:rsid w:val="00206531"/>
    <w:rsid w:val="00217685"/>
    <w:rsid w:val="002337D8"/>
    <w:rsid w:val="00286189"/>
    <w:rsid w:val="00290E7C"/>
    <w:rsid w:val="00292D27"/>
    <w:rsid w:val="00296C8C"/>
    <w:rsid w:val="002C66E3"/>
    <w:rsid w:val="002D6E99"/>
    <w:rsid w:val="002E73D2"/>
    <w:rsid w:val="00313F7E"/>
    <w:rsid w:val="00320846"/>
    <w:rsid w:val="003273D0"/>
    <w:rsid w:val="003372F9"/>
    <w:rsid w:val="003470C3"/>
    <w:rsid w:val="0036138C"/>
    <w:rsid w:val="00381E73"/>
    <w:rsid w:val="003841AE"/>
    <w:rsid w:val="003910D3"/>
    <w:rsid w:val="003A0E93"/>
    <w:rsid w:val="003B376B"/>
    <w:rsid w:val="003C3D3A"/>
    <w:rsid w:val="003C77E6"/>
    <w:rsid w:val="003E7DFC"/>
    <w:rsid w:val="003F1211"/>
    <w:rsid w:val="0041487D"/>
    <w:rsid w:val="00423F04"/>
    <w:rsid w:val="0043733D"/>
    <w:rsid w:val="00457074"/>
    <w:rsid w:val="00464265"/>
    <w:rsid w:val="00465A82"/>
    <w:rsid w:val="00471CE8"/>
    <w:rsid w:val="00480BFC"/>
    <w:rsid w:val="00486F97"/>
    <w:rsid w:val="00497BF0"/>
    <w:rsid w:val="004A3F0A"/>
    <w:rsid w:val="004A615E"/>
    <w:rsid w:val="004C50B3"/>
    <w:rsid w:val="004C5F71"/>
    <w:rsid w:val="004D52AB"/>
    <w:rsid w:val="004D6249"/>
    <w:rsid w:val="004D6266"/>
    <w:rsid w:val="00513069"/>
    <w:rsid w:val="005156CB"/>
    <w:rsid w:val="00533B60"/>
    <w:rsid w:val="005536A2"/>
    <w:rsid w:val="0056785D"/>
    <w:rsid w:val="00572C13"/>
    <w:rsid w:val="00583878"/>
    <w:rsid w:val="00586DB5"/>
    <w:rsid w:val="00596D42"/>
    <w:rsid w:val="005B02DE"/>
    <w:rsid w:val="005B1F20"/>
    <w:rsid w:val="005B4139"/>
    <w:rsid w:val="005D3432"/>
    <w:rsid w:val="005E07A6"/>
    <w:rsid w:val="005E689D"/>
    <w:rsid w:val="005F55EE"/>
    <w:rsid w:val="00634D64"/>
    <w:rsid w:val="00637048"/>
    <w:rsid w:val="00637350"/>
    <w:rsid w:val="00666E7F"/>
    <w:rsid w:val="006B075B"/>
    <w:rsid w:val="006B2529"/>
    <w:rsid w:val="006B71B6"/>
    <w:rsid w:val="006C718B"/>
    <w:rsid w:val="006C7BC2"/>
    <w:rsid w:val="006D10E5"/>
    <w:rsid w:val="006E33EC"/>
    <w:rsid w:val="006E6EE3"/>
    <w:rsid w:val="00722164"/>
    <w:rsid w:val="0073425F"/>
    <w:rsid w:val="00771F40"/>
    <w:rsid w:val="00782937"/>
    <w:rsid w:val="00782BD2"/>
    <w:rsid w:val="00791AF6"/>
    <w:rsid w:val="00794C8D"/>
    <w:rsid w:val="007D7565"/>
    <w:rsid w:val="007E0248"/>
    <w:rsid w:val="007E32A8"/>
    <w:rsid w:val="007F4886"/>
    <w:rsid w:val="00874E7B"/>
    <w:rsid w:val="00883E7E"/>
    <w:rsid w:val="008A4819"/>
    <w:rsid w:val="008B362F"/>
    <w:rsid w:val="008B369B"/>
    <w:rsid w:val="008B5F65"/>
    <w:rsid w:val="008F413E"/>
    <w:rsid w:val="008F4C0B"/>
    <w:rsid w:val="008F7C69"/>
    <w:rsid w:val="00956DD8"/>
    <w:rsid w:val="00981D17"/>
    <w:rsid w:val="009B1C95"/>
    <w:rsid w:val="009B2556"/>
    <w:rsid w:val="009B41BA"/>
    <w:rsid w:val="009B6381"/>
    <w:rsid w:val="009C4CAF"/>
    <w:rsid w:val="009E0C3A"/>
    <w:rsid w:val="009E48EC"/>
    <w:rsid w:val="00A16A83"/>
    <w:rsid w:val="00A23F9E"/>
    <w:rsid w:val="00A26D33"/>
    <w:rsid w:val="00A3335E"/>
    <w:rsid w:val="00A378F8"/>
    <w:rsid w:val="00A42B04"/>
    <w:rsid w:val="00A523B2"/>
    <w:rsid w:val="00A52A8A"/>
    <w:rsid w:val="00A7025A"/>
    <w:rsid w:val="00A7327E"/>
    <w:rsid w:val="00A824C5"/>
    <w:rsid w:val="00A97E01"/>
    <w:rsid w:val="00AE77C0"/>
    <w:rsid w:val="00B02439"/>
    <w:rsid w:val="00B049F7"/>
    <w:rsid w:val="00B10682"/>
    <w:rsid w:val="00B15D8C"/>
    <w:rsid w:val="00B223C7"/>
    <w:rsid w:val="00B373E7"/>
    <w:rsid w:val="00B5377C"/>
    <w:rsid w:val="00B77E1C"/>
    <w:rsid w:val="00B97285"/>
    <w:rsid w:val="00BA3BC2"/>
    <w:rsid w:val="00BA52A0"/>
    <w:rsid w:val="00BB6AFC"/>
    <w:rsid w:val="00BC2123"/>
    <w:rsid w:val="00BD0A25"/>
    <w:rsid w:val="00BF0C50"/>
    <w:rsid w:val="00BF334F"/>
    <w:rsid w:val="00C00215"/>
    <w:rsid w:val="00C06931"/>
    <w:rsid w:val="00C21855"/>
    <w:rsid w:val="00C363BA"/>
    <w:rsid w:val="00C567F1"/>
    <w:rsid w:val="00C650A7"/>
    <w:rsid w:val="00C6617D"/>
    <w:rsid w:val="00C831D2"/>
    <w:rsid w:val="00C85FE8"/>
    <w:rsid w:val="00C90EAC"/>
    <w:rsid w:val="00CA372D"/>
    <w:rsid w:val="00CB2DD0"/>
    <w:rsid w:val="00CB33DC"/>
    <w:rsid w:val="00CC3B32"/>
    <w:rsid w:val="00CD4844"/>
    <w:rsid w:val="00CE12E9"/>
    <w:rsid w:val="00CE70C2"/>
    <w:rsid w:val="00CF7BD2"/>
    <w:rsid w:val="00D005C6"/>
    <w:rsid w:val="00D006DF"/>
    <w:rsid w:val="00D16E1A"/>
    <w:rsid w:val="00D20ADF"/>
    <w:rsid w:val="00D33976"/>
    <w:rsid w:val="00D507DB"/>
    <w:rsid w:val="00D6487C"/>
    <w:rsid w:val="00D74F43"/>
    <w:rsid w:val="00DB683A"/>
    <w:rsid w:val="00DD211C"/>
    <w:rsid w:val="00DD41DF"/>
    <w:rsid w:val="00DF7F7E"/>
    <w:rsid w:val="00E012D0"/>
    <w:rsid w:val="00E203F1"/>
    <w:rsid w:val="00E20C9C"/>
    <w:rsid w:val="00E33086"/>
    <w:rsid w:val="00E34EF4"/>
    <w:rsid w:val="00E42BE8"/>
    <w:rsid w:val="00E47AD4"/>
    <w:rsid w:val="00E50764"/>
    <w:rsid w:val="00E85707"/>
    <w:rsid w:val="00E92252"/>
    <w:rsid w:val="00E967CB"/>
    <w:rsid w:val="00EA195E"/>
    <w:rsid w:val="00EA5B80"/>
    <w:rsid w:val="00EB6BB9"/>
    <w:rsid w:val="00ED04C4"/>
    <w:rsid w:val="00ED4A3F"/>
    <w:rsid w:val="00EE7593"/>
    <w:rsid w:val="00EF41B3"/>
    <w:rsid w:val="00EF4284"/>
    <w:rsid w:val="00EF4527"/>
    <w:rsid w:val="00EF6E7D"/>
    <w:rsid w:val="00EF7EB5"/>
    <w:rsid w:val="00F03DDD"/>
    <w:rsid w:val="00F13B87"/>
    <w:rsid w:val="00F2376F"/>
    <w:rsid w:val="00F2696A"/>
    <w:rsid w:val="00F421FB"/>
    <w:rsid w:val="00F65143"/>
    <w:rsid w:val="00F84076"/>
    <w:rsid w:val="00F91C8F"/>
    <w:rsid w:val="00FA2075"/>
    <w:rsid w:val="00FC1A02"/>
    <w:rsid w:val="00FC568D"/>
    <w:rsid w:val="00FF4157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FF21F15-07F1-4C54-8497-618CCF8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292D27"/>
    <w:rPr>
      <w:rFonts w:cs="Times New Roman"/>
      <w:sz w:val="20"/>
      <w:szCs w:val="20"/>
    </w:rPr>
  </w:style>
  <w:style w:type="character" w:styleId="nfaseIntensa">
    <w:name w:val="Intense Emphasis"/>
    <w:uiPriority w:val="21"/>
    <w:qFormat/>
    <w:rsid w:val="00E42BE8"/>
    <w:rPr>
      <w:rFonts w:cs="Times New Roman"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5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16</cp:revision>
  <cp:lastPrinted>2015-04-27T21:59:00Z</cp:lastPrinted>
  <dcterms:created xsi:type="dcterms:W3CDTF">2020-04-13T17:35:00Z</dcterms:created>
  <dcterms:modified xsi:type="dcterms:W3CDTF">2020-04-22T18:05:00Z</dcterms:modified>
</cp:coreProperties>
</file>