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506EC">
        <w:rPr>
          <w:rFonts w:ascii="Calibri" w:hAnsi="Calibri" w:cs="Calibri"/>
          <w:b/>
          <w:sz w:val="24"/>
          <w:szCs w:val="24"/>
        </w:rPr>
        <w:t>84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506EC">
        <w:rPr>
          <w:rFonts w:ascii="Calibri" w:hAnsi="Calibri" w:cs="Calibri"/>
          <w:b/>
          <w:sz w:val="24"/>
          <w:szCs w:val="24"/>
        </w:rPr>
        <w:t>90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506E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506EC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506EC" w:rsidRDefault="00D506EC" w:rsidP="00437DD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D506EC">
        <w:rPr>
          <w:rFonts w:ascii="Calibri" w:hAnsi="Calibri" w:cs="Calibri"/>
          <w:sz w:val="24"/>
          <w:szCs w:val="22"/>
        </w:rPr>
        <w:t>Art. 1º Fica o Poder Executivo autorizado a abrir um crédito adicional especial, no valor de R$ 12.000.000,00 (doze milhões de reais), a fim de incluir no orçamento a operação de crédito autorizada pela Lei nº 9.905, de 4 de março de 2020, que visa a execução de reformas e adequações em espaços públicos, conforme demonstrado abaixo:</w:t>
      </w:r>
    </w:p>
    <w:tbl>
      <w:tblPr>
        <w:tblW w:w="92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4819"/>
        <w:gridCol w:w="2268"/>
      </w:tblGrid>
      <w:tr w:rsidR="00D506EC" w:rsidRPr="00482234" w:rsidTr="00400B54">
        <w:trPr>
          <w:trHeight w:val="31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506EC" w:rsidRPr="00482234" w:rsidTr="00400B54">
        <w:trPr>
          <w:trHeight w:val="32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PUBLICAS</w:t>
            </w:r>
          </w:p>
        </w:tc>
      </w:tr>
      <w:tr w:rsidR="00D506EC" w:rsidRPr="00482234" w:rsidTr="00400B54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506EC" w:rsidRPr="00482234" w:rsidTr="00400B54">
        <w:trPr>
          <w:trHeight w:val="7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D506EC" w:rsidRPr="00482234" w:rsidTr="00400B54">
        <w:trPr>
          <w:trHeight w:val="63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15.451.0067.1.136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FINANCIAMENTO À INFRAESTRUTURA E AO SANEAMENTO – FINISA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 xml:space="preserve"> R$    12.000.000,00</w:t>
            </w:r>
          </w:p>
        </w:tc>
      </w:tr>
      <w:tr w:rsidR="00D506EC" w:rsidRPr="00482234" w:rsidTr="00400B54">
        <w:trPr>
          <w:trHeight w:val="315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 xml:space="preserve"> R$    12.000.000,00</w:t>
            </w:r>
          </w:p>
        </w:tc>
      </w:tr>
      <w:tr w:rsidR="00D506EC" w:rsidRPr="00482234" w:rsidTr="00400B54">
        <w:trPr>
          <w:trHeight w:val="315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EC" w:rsidRPr="00482234" w:rsidRDefault="00D506EC" w:rsidP="00400B5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6EC" w:rsidRPr="00482234" w:rsidRDefault="00D506EC" w:rsidP="00400B5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82234">
              <w:rPr>
                <w:rFonts w:ascii="Calibri" w:hAnsi="Calibri"/>
                <w:color w:val="000000"/>
                <w:sz w:val="24"/>
                <w:szCs w:val="24"/>
              </w:rPr>
              <w:t>7 – OPERAÇÃO DE CRÉDITO</w:t>
            </w:r>
          </w:p>
        </w:tc>
      </w:tr>
    </w:tbl>
    <w:p w:rsidR="00D506EC" w:rsidRDefault="00D506EC" w:rsidP="00D506E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Pr="002D2B0C">
        <w:rPr>
          <w:rFonts w:ascii="Calibri" w:hAnsi="Calibri" w:cs="Calibri"/>
          <w:sz w:val="24"/>
          <w:szCs w:val="24"/>
        </w:rPr>
        <w:t>será coberto</w:t>
      </w:r>
      <w:r>
        <w:rPr>
          <w:rFonts w:ascii="Calibri" w:hAnsi="Calibri" w:cs="Calibri"/>
          <w:sz w:val="24"/>
          <w:szCs w:val="24"/>
        </w:rPr>
        <w:t xml:space="preserve"> </w:t>
      </w:r>
      <w:r w:rsidRPr="003D65E4">
        <w:rPr>
          <w:rFonts w:ascii="Calibri" w:hAnsi="Calibri" w:cs="Calibri"/>
          <w:sz w:val="24"/>
          <w:szCs w:val="24"/>
        </w:rPr>
        <w:t>com recursos de exc</w:t>
      </w:r>
      <w:r>
        <w:rPr>
          <w:rFonts w:ascii="Calibri" w:hAnsi="Calibri" w:cs="Calibri"/>
          <w:sz w:val="24"/>
          <w:szCs w:val="24"/>
        </w:rPr>
        <w:t xml:space="preserve">esso de arrecadação, </w:t>
      </w:r>
      <w:r w:rsidRPr="00053A09">
        <w:rPr>
          <w:rFonts w:ascii="Calibri" w:hAnsi="Calibri" w:cs="Calibri"/>
          <w:sz w:val="24"/>
          <w:szCs w:val="24"/>
        </w:rPr>
        <w:t>oriundo</w:t>
      </w:r>
      <w:r>
        <w:rPr>
          <w:rFonts w:ascii="Calibri" w:hAnsi="Calibri" w:cs="Calibri"/>
          <w:sz w:val="24"/>
          <w:szCs w:val="24"/>
        </w:rPr>
        <w:t>s da</w:t>
      </w:r>
      <w:r w:rsidRPr="00053A09">
        <w:rPr>
          <w:rFonts w:ascii="Calibri" w:hAnsi="Calibri" w:cs="Calibri"/>
          <w:sz w:val="24"/>
          <w:szCs w:val="24"/>
        </w:rPr>
        <w:t xml:space="preserve"> liberação de financiamento autorizad</w:t>
      </w:r>
      <w:r>
        <w:rPr>
          <w:rFonts w:ascii="Calibri" w:hAnsi="Calibri" w:cs="Calibri"/>
          <w:sz w:val="24"/>
          <w:szCs w:val="24"/>
        </w:rPr>
        <w:t>a pela</w:t>
      </w:r>
      <w:r w:rsidRPr="00053A09">
        <w:rPr>
          <w:rFonts w:ascii="Calibri" w:hAnsi="Calibri" w:cs="Calibri"/>
          <w:sz w:val="24"/>
          <w:szCs w:val="24"/>
        </w:rPr>
        <w:t xml:space="preserve"> Lei </w:t>
      </w:r>
      <w:r>
        <w:rPr>
          <w:rFonts w:ascii="Calibri" w:hAnsi="Calibri" w:cs="Calibri"/>
          <w:sz w:val="24"/>
          <w:szCs w:val="24"/>
        </w:rPr>
        <w:t>nº</w:t>
      </w:r>
      <w:r w:rsidRPr="00053A0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9.905, </w:t>
      </w:r>
      <w:r w:rsidRPr="00053A09">
        <w:rPr>
          <w:rFonts w:ascii="Calibri" w:hAnsi="Calibri" w:cs="Calibri"/>
          <w:sz w:val="24"/>
          <w:szCs w:val="24"/>
        </w:rPr>
        <w:t>de 20</w:t>
      </w:r>
      <w:r>
        <w:rPr>
          <w:rFonts w:ascii="Calibri" w:hAnsi="Calibri" w:cs="Calibri"/>
          <w:sz w:val="24"/>
          <w:szCs w:val="24"/>
        </w:rPr>
        <w:t>20</w:t>
      </w:r>
      <w:r w:rsidRPr="00053A09">
        <w:rPr>
          <w:rFonts w:ascii="Calibri" w:hAnsi="Calibri" w:cs="Calibri"/>
          <w:sz w:val="24"/>
          <w:szCs w:val="24"/>
        </w:rPr>
        <w:t>, no valor</w:t>
      </w:r>
      <w:r>
        <w:rPr>
          <w:rFonts w:ascii="Calibri" w:hAnsi="Calibri" w:cs="Calibri"/>
          <w:sz w:val="24"/>
          <w:szCs w:val="24"/>
        </w:rPr>
        <w:t xml:space="preserve"> </w:t>
      </w:r>
      <w:r w:rsidRPr="008B0646">
        <w:rPr>
          <w:rFonts w:ascii="Calibri" w:hAnsi="Calibri"/>
          <w:sz w:val="24"/>
          <w:szCs w:val="24"/>
        </w:rPr>
        <w:t xml:space="preserve">de R$ </w:t>
      </w:r>
      <w:r>
        <w:rPr>
          <w:rFonts w:ascii="Calibri" w:hAnsi="Calibri"/>
          <w:sz w:val="24"/>
          <w:szCs w:val="24"/>
        </w:rPr>
        <w:t>12.000.000,00</w:t>
      </w:r>
      <w:r w:rsidRPr="008B0646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doze milhões de reais), junto à Caixa Econômica Federal.</w:t>
      </w:r>
    </w:p>
    <w:p w:rsidR="00D506EC" w:rsidRPr="00A82693" w:rsidRDefault="00D506EC" w:rsidP="00D506EC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3º Fica incluso o pres</w:t>
      </w:r>
      <w:r>
        <w:rPr>
          <w:rFonts w:ascii="Calibri" w:hAnsi="Calibri" w:cs="Calibri"/>
          <w:bCs/>
          <w:sz w:val="24"/>
          <w:szCs w:val="24"/>
        </w:rPr>
        <w:t xml:space="preserve">ente crédito adicional especial </w:t>
      </w:r>
      <w:r w:rsidRPr="00A82693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9.645, de 16 de julho de 2019 (Lei de Diretrizes Orçamentárias - LDO) e na Lei nº 9.844, de 17 de dezembro de 2019 (Lei Orçamentária Anual - LOA).</w:t>
      </w:r>
    </w:p>
    <w:p w:rsidR="00D506EC" w:rsidRPr="00A82693" w:rsidRDefault="00D506EC" w:rsidP="00D506E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2F5453" w:rsidP="00D506E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578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578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578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37DDB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84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06EC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272</cp:revision>
  <cp:lastPrinted>2018-06-26T22:41:00Z</cp:lastPrinted>
  <dcterms:created xsi:type="dcterms:W3CDTF">2016-08-16T19:55:00Z</dcterms:created>
  <dcterms:modified xsi:type="dcterms:W3CDTF">2020-03-18T18:50:00Z</dcterms:modified>
</cp:coreProperties>
</file>