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autorização para o Poder Executivo associar o Município como membro na Associação Internacional das Cidades Educadoras (AICE),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10A" w:rsidRDefault="0013010A" w:rsidP="00126850">
      <w:pPr>
        <w:spacing w:line="240" w:lineRule="auto"/>
      </w:pPr>
      <w:r>
        <w:separator/>
      </w:r>
    </w:p>
  </w:endnote>
  <w:endnote w:type="continuationSeparator" w:id="0">
    <w:p w:rsidR="0013010A" w:rsidRDefault="0013010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B204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B204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10A" w:rsidRDefault="0013010A" w:rsidP="00126850">
      <w:pPr>
        <w:spacing w:line="240" w:lineRule="auto"/>
      </w:pPr>
      <w:r>
        <w:separator/>
      </w:r>
    </w:p>
  </w:footnote>
  <w:footnote w:type="continuationSeparator" w:id="0">
    <w:p w:rsidR="0013010A" w:rsidRDefault="0013010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010A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2041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7CC44-2A0E-4A9D-84A0-971C319C6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2020-03-13T12:11:00Z</dcterms:modified>
</cp:coreProperties>
</file>