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autorização para o Poder Executivo associar o Município como membro na Associação Internacional das Cidades Educadoras (AICE),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4464B" w:rsidRDefault="0084464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4464B" w:rsidRPr="001B5DD7" w:rsidRDefault="0084464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7AD" w:rsidRDefault="00FE57AD" w:rsidP="00126850">
      <w:pPr>
        <w:spacing w:line="240" w:lineRule="auto"/>
      </w:pPr>
      <w:r>
        <w:separator/>
      </w:r>
    </w:p>
  </w:endnote>
  <w:endnote w:type="continuationSeparator" w:id="0">
    <w:p w:rsidR="00FE57AD" w:rsidRDefault="00FE57A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46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46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7AD" w:rsidRDefault="00FE57AD" w:rsidP="00126850">
      <w:pPr>
        <w:spacing w:line="240" w:lineRule="auto"/>
      </w:pPr>
      <w:r>
        <w:separator/>
      </w:r>
    </w:p>
  </w:footnote>
  <w:footnote w:type="continuationSeparator" w:id="0">
    <w:p w:rsidR="00FE57AD" w:rsidRDefault="00FE57A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464B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57AD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3C3E7-A250-4191-A10E-C3F29284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2020-03-13T12:10:00Z</dcterms:modified>
</cp:coreProperties>
</file>