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no valor de R$ 53.299.372,03 (cinquenta e três milhões, duzentos e noventa e nove mil, trezentos e setenta e dois reais e três centavos), para modernizar, expandir e melhorar a eficiência da rede de iluminação pública municipal,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81" w:rsidRDefault="00E73781" w:rsidP="00126850">
      <w:pPr>
        <w:spacing w:line="240" w:lineRule="auto"/>
      </w:pPr>
      <w:r>
        <w:separator/>
      </w:r>
    </w:p>
  </w:endnote>
  <w:endnote w:type="continuationSeparator" w:id="0">
    <w:p w:rsidR="00E73781" w:rsidRDefault="00E7378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65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665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81" w:rsidRDefault="00E73781" w:rsidP="00126850">
      <w:pPr>
        <w:spacing w:line="240" w:lineRule="auto"/>
      </w:pPr>
      <w:r>
        <w:separator/>
      </w:r>
    </w:p>
  </w:footnote>
  <w:footnote w:type="continuationSeparator" w:id="0">
    <w:p w:rsidR="00E73781" w:rsidRDefault="00E7378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6653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3781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5416-94A6-45E0-8094-A4BE018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2020-03-13T12:12:00Z</dcterms:modified>
</cp:coreProperties>
</file>