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89/2020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no valor de R$ 53.299.372,03 (cinquenta e três milhões, duzentos e noventa e nove mil, trezentos e setenta e dois reais e três centavos), para modernizar, expandir e melhorar a eficiência da rede de iluminação pública municipal,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781" w:rsidRDefault="00E73781" w:rsidP="00126850">
      <w:pPr>
        <w:spacing w:line="240" w:lineRule="auto"/>
      </w:pPr>
      <w:r>
        <w:separator/>
      </w:r>
    </w:p>
  </w:endnote>
  <w:endnote w:type="continuationSeparator" w:id="0">
    <w:p w:rsidR="00E73781" w:rsidRDefault="00E7378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665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665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781" w:rsidRDefault="00E73781" w:rsidP="00126850">
      <w:pPr>
        <w:spacing w:line="240" w:lineRule="auto"/>
      </w:pPr>
      <w:r>
        <w:separator/>
      </w:r>
    </w:p>
  </w:footnote>
  <w:footnote w:type="continuationSeparator" w:id="0">
    <w:p w:rsidR="00E73781" w:rsidRDefault="00E7378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6653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3781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85416-94A6-45E0-8094-A4BE0183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2020-03-13T12:12:00Z</dcterms:modified>
</cp:coreProperties>
</file>