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R$ 53.299.372,03 (cinquenta e três milhões, duzentos e noventa e nove mil, trezentos e setenta e dois reais e três centavos), para modernizar, expandir e melhorar a eficiência da rede de iluminação pública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AA" w:rsidRDefault="009A70AA" w:rsidP="00126850">
      <w:pPr>
        <w:spacing w:line="240" w:lineRule="auto"/>
      </w:pPr>
      <w:r>
        <w:separator/>
      </w:r>
    </w:p>
  </w:endnote>
  <w:endnote w:type="continuationSeparator" w:id="0">
    <w:p w:rsidR="009A70AA" w:rsidRDefault="009A70A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924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924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AA" w:rsidRDefault="009A70AA" w:rsidP="00126850">
      <w:pPr>
        <w:spacing w:line="240" w:lineRule="auto"/>
      </w:pPr>
      <w:r>
        <w:separator/>
      </w:r>
    </w:p>
  </w:footnote>
  <w:footnote w:type="continuationSeparator" w:id="0">
    <w:p w:rsidR="009A70AA" w:rsidRDefault="009A70A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A70A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2496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D51E-0707-45B5-B04D-6D6BA6D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2020-03-13T12:11:00Z</dcterms:modified>
</cp:coreProperties>
</file>