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no valor de R$ 12.000.000,00 (doze milhões de reais), para a execução de reformas e adequações em espaços públicos,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9C" w:rsidRDefault="001E039C" w:rsidP="00126850">
      <w:pPr>
        <w:spacing w:line="240" w:lineRule="auto"/>
      </w:pPr>
      <w:r>
        <w:separator/>
      </w:r>
    </w:p>
  </w:endnote>
  <w:endnote w:type="continuationSeparator" w:id="0">
    <w:p w:rsidR="001E039C" w:rsidRDefault="001E039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59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59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9C" w:rsidRDefault="001E039C" w:rsidP="00126850">
      <w:pPr>
        <w:spacing w:line="240" w:lineRule="auto"/>
      </w:pPr>
      <w:r>
        <w:separator/>
      </w:r>
    </w:p>
  </w:footnote>
  <w:footnote w:type="continuationSeparator" w:id="0">
    <w:p w:rsidR="001E039C" w:rsidRDefault="001E039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039C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59E9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4313-1CAE-42E7-9D9D-3DB3EF2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2020-03-13T12:12:00Z</dcterms:modified>
</cp:coreProperties>
</file>