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113/2020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medidas de transição, de implementação e de readequação das Leis nº 9.800, 9.801 e 9.802, todas de 27 de novembro de 2019,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A3C" w:rsidRDefault="00D31A3C" w:rsidP="00126850">
      <w:pPr>
        <w:spacing w:line="240" w:lineRule="auto"/>
      </w:pPr>
      <w:r>
        <w:separator/>
      </w:r>
    </w:p>
  </w:endnote>
  <w:endnote w:type="continuationSeparator" w:id="0">
    <w:p w:rsidR="00D31A3C" w:rsidRDefault="00D31A3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159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159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A3C" w:rsidRDefault="00D31A3C" w:rsidP="00126850">
      <w:pPr>
        <w:spacing w:line="240" w:lineRule="auto"/>
      </w:pPr>
      <w:r>
        <w:separator/>
      </w:r>
    </w:p>
  </w:footnote>
  <w:footnote w:type="continuationSeparator" w:id="0">
    <w:p w:rsidR="00D31A3C" w:rsidRDefault="00D31A3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5924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1A3C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1A9D8-AC82-456F-9D76-27EB9B30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2020-03-06T11:49:00Z</dcterms:modified>
</cp:coreProperties>
</file>