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527" w:type="dxa"/>
        <w:tblInd w:w="2235" w:type="dxa"/>
        <w:tblLook w:val="01E0" w:firstRow="1" w:lastRow="1" w:firstColumn="1" w:lastColumn="1" w:noHBand="0" w:noVBand="0"/>
      </w:tblPr>
      <w:tblGrid>
        <w:gridCol w:w="2430"/>
        <w:gridCol w:w="1994"/>
        <w:gridCol w:w="1103"/>
      </w:tblGrid>
      <w:tr w:rsidR="00136F9D" w:rsidRPr="00136F9D" w:rsidTr="00A95ADE">
        <w:tc>
          <w:tcPr>
            <w:tcW w:w="2430"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PARECER Nº</w:t>
            </w:r>
          </w:p>
        </w:tc>
        <w:tc>
          <w:tcPr>
            <w:tcW w:w="1994"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p>
        </w:tc>
        <w:tc>
          <w:tcPr>
            <w:tcW w:w="1103" w:type="dxa"/>
            <w:shd w:val="clear" w:color="auto" w:fill="auto"/>
          </w:tcPr>
          <w:p w:rsidR="00136F9D" w:rsidRPr="00136F9D" w:rsidRDefault="00423EFE" w:rsidP="00136F9D">
            <w:pPr>
              <w:tabs>
                <w:tab w:val="left" w:pos="600"/>
              </w:tabs>
              <w:autoSpaceDE w:val="0"/>
              <w:autoSpaceDN w:val="0"/>
              <w:spacing w:line="240" w:lineRule="auto"/>
              <w:jc w:val="center"/>
              <w:rPr>
                <w:rFonts w:eastAsia="Times New Roman" w:cs="Times New Roman"/>
                <w:sz w:val="32"/>
                <w:szCs w:val="32"/>
                <w:u w:val="words"/>
                <w:lang w:eastAsia="pt-BR"/>
              </w:rPr>
            </w:pPr>
            <w:r>
              <w:rPr>
                <w:rFonts w:eastAsia="Times New Roman" w:cs="Times New Roman"/>
                <w:b/>
                <w:bCs/>
                <w:sz w:val="32"/>
                <w:szCs w:val="32"/>
                <w:lang w:eastAsia="pt-BR"/>
              </w:rPr>
              <w:t>/2020</w:t>
            </w:r>
          </w:p>
        </w:tc>
      </w:tr>
    </w:tbl>
    <w:p w:rsidR="00136F9D" w:rsidRPr="00136F9D" w:rsidRDefault="00136F9D" w:rsidP="00136F9D">
      <w:pPr>
        <w:autoSpaceDE w:val="0"/>
        <w:autoSpaceDN w:val="0"/>
        <w:spacing w:line="240" w:lineRule="auto"/>
        <w:jc w:val="both"/>
        <w:rPr>
          <w:rFonts w:ascii="Arial" w:eastAsia="Times New Roman" w:hAnsi="Arial" w:cs="Arial"/>
          <w:b/>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sidRPr="00136F9D">
        <w:rPr>
          <w:rFonts w:ascii="Arial" w:eastAsia="Times New Roman" w:hAnsi="Arial" w:cs="Arial"/>
          <w:bCs/>
          <w:szCs w:val="24"/>
          <w:lang w:eastAsia="pt-BR"/>
        </w:rPr>
        <w:t xml:space="preserve">Processo nº </w:t>
      </w:r>
      <w:r>
        <w:rPr>
          <w:rFonts w:ascii="Arial" w:eastAsia="Times New Roman" w:hAnsi="Arial" w:cs="Arial"/>
          <w:bCs/>
          <w:szCs w:val="24"/>
          <w:lang w:eastAsia="pt-BR"/>
        </w:rPr>
        <w:t>105/2020</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Pr>
          <w:rFonts w:ascii="Arial" w:eastAsia="Times New Roman" w:hAnsi="Arial" w:cs="Arial"/>
          <w:bCs/>
          <w:szCs w:val="24"/>
          <w:lang w:eastAsia="pt-BR"/>
        </w:rPr>
        <w:t>Projeto de Lei nº 81/2020</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r w:rsidRPr="00136F9D">
        <w:rPr>
          <w:rFonts w:ascii="Arial" w:eastAsia="Times New Roman" w:hAnsi="Arial" w:cs="Arial"/>
          <w:bCs/>
          <w:szCs w:val="24"/>
          <w:lang w:eastAsia="pt-BR"/>
        </w:rPr>
        <w:t xml:space="preserve">Iniciativa: </w:t>
      </w:r>
      <w:r>
        <w:rPr>
          <w:rFonts w:ascii="Arial" w:eastAsia="Times New Roman" w:hAnsi="Arial" w:cs="Arial"/>
          <w:szCs w:val="24"/>
          <w:lang w:eastAsia="pt-BR"/>
        </w:rPr>
        <w:t>PREFEITURA DO MUNICÍPIO DE ARARAQUARA</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r w:rsidRPr="00136F9D">
        <w:rPr>
          <w:rFonts w:ascii="Arial" w:eastAsia="Times New Roman" w:hAnsi="Arial" w:cs="Arial"/>
          <w:bCs/>
          <w:szCs w:val="24"/>
          <w:lang w:eastAsia="pt-BR"/>
        </w:rPr>
        <w:t xml:space="preserve">Assunto: </w:t>
      </w:r>
      <w:r>
        <w:rPr>
          <w:rFonts w:ascii="Arial" w:eastAsia="Times New Roman" w:hAnsi="Arial" w:cs="Arial"/>
          <w:szCs w:val="24"/>
          <w:lang w:eastAsia="pt-BR"/>
        </w:rPr>
        <w:t>Altera a Lei nº 9.892, de 12 de fevereiro de 2020 (Dispõe sobre a abertura de crédito adicional suplementar), de modo a dispor que o crédito autorizado será coberto por meio de superávit financeiro.</w:t>
      </w:r>
    </w:p>
    <w:p w:rsidR="00136F9D" w:rsidRPr="00136F9D" w:rsidRDefault="00136F9D" w:rsidP="00136F9D">
      <w:pPr>
        <w:autoSpaceDE w:val="0"/>
        <w:autoSpaceDN w:val="0"/>
        <w:spacing w:line="240" w:lineRule="auto"/>
        <w:jc w:val="both"/>
        <w:rPr>
          <w:rFonts w:ascii="Arial" w:eastAsia="Times New Roman" w:hAnsi="Arial" w:cs="Arial"/>
          <w:b/>
          <w:bCs/>
          <w:szCs w:val="24"/>
          <w:lang w:eastAsia="pt-BR"/>
        </w:rPr>
      </w:pPr>
    </w:p>
    <w:p w:rsidR="001B5DD7" w:rsidRDefault="001B5DD7" w:rsidP="001B5DD7">
      <w:pPr>
        <w:tabs>
          <w:tab w:val="left" w:pos="709"/>
          <w:tab w:val="left" w:pos="1418"/>
        </w:tabs>
        <w:autoSpaceDE w:val="0"/>
        <w:autoSpaceDN w:val="0"/>
        <w:spacing w:line="240" w:lineRule="auto"/>
        <w:ind w:left="34" w:firstLine="1384"/>
        <w:jc w:val="both"/>
        <w:rPr>
          <w:rFonts w:ascii="Arial" w:eastAsia="Times New Roman" w:hAnsi="Arial" w:cs="Arial"/>
          <w:szCs w:val="24"/>
          <w:lang w:eastAsia="pt-BR"/>
        </w:rPr>
      </w:pPr>
      <w:r w:rsidRPr="001B5DD7">
        <w:rPr>
          <w:rFonts w:ascii="Arial" w:eastAsia="Times New Roman" w:hAnsi="Arial" w:cs="Arial"/>
          <w:szCs w:val="24"/>
          <w:lang w:eastAsia="pt-BR"/>
        </w:rPr>
        <w:t>Ao apreciar a matéria, a douta Comissão de Justiça, Legislação e Redação concluiu pela sua legalidade.</w:t>
      </w:r>
    </w:p>
    <w:p w:rsidR="00B97234" w:rsidRDefault="00B97234" w:rsidP="001B5DD7">
      <w:pPr>
        <w:tabs>
          <w:tab w:val="left" w:pos="709"/>
          <w:tab w:val="left" w:pos="1418"/>
        </w:tabs>
        <w:autoSpaceDE w:val="0"/>
        <w:autoSpaceDN w:val="0"/>
        <w:spacing w:line="240" w:lineRule="auto"/>
        <w:ind w:left="34" w:firstLine="1384"/>
        <w:jc w:val="both"/>
        <w:rPr>
          <w:rFonts w:ascii="Arial" w:eastAsia="Times New Roman" w:hAnsi="Arial" w:cs="Arial"/>
          <w:szCs w:val="24"/>
          <w:lang w:eastAsia="pt-BR"/>
        </w:rPr>
      </w:pPr>
    </w:p>
    <w:p w:rsidR="00B97234" w:rsidRDefault="00B97234" w:rsidP="00B97234">
      <w:pPr>
        <w:tabs>
          <w:tab w:val="left" w:pos="709"/>
          <w:tab w:val="left" w:pos="1418"/>
        </w:tabs>
        <w:autoSpaceDE w:val="0"/>
        <w:autoSpaceDN w:val="0"/>
        <w:spacing w:line="240" w:lineRule="auto"/>
        <w:ind w:left="34"/>
        <w:jc w:val="both"/>
        <w:rPr>
          <w:rFonts w:ascii="Arial" w:eastAsia="Times New Roman" w:hAnsi="Arial" w:cs="Arial"/>
          <w:szCs w:val="24"/>
          <w:lang w:eastAsia="pt-BR"/>
        </w:rPr>
      </w:pPr>
      <w:r>
        <w:rPr>
          <w:rFonts w:ascii="Arial" w:eastAsia="Times New Roman" w:hAnsi="Arial" w:cs="Arial"/>
          <w:szCs w:val="24"/>
          <w:lang w:eastAsia="pt-BR"/>
        </w:rPr>
        <w:tab/>
      </w:r>
      <w:r>
        <w:rPr>
          <w:rFonts w:ascii="Arial" w:eastAsia="Times New Roman" w:hAnsi="Arial" w:cs="Arial"/>
          <w:szCs w:val="24"/>
          <w:lang w:eastAsia="pt-BR"/>
        </w:rPr>
        <w:tab/>
        <w:t>Os meios indicados para prover aos novos encargos são perfeitamente hábeis, face ao disposto na Lei Federal nº 4.320, de 17 de março de 1964, que trata das normas gerais de Direito Financeiro.</w:t>
      </w:r>
    </w:p>
    <w:p w:rsidR="001B5DD7" w:rsidRPr="001B5DD7" w:rsidRDefault="001B5DD7" w:rsidP="001B5DD7">
      <w:pPr>
        <w:tabs>
          <w:tab w:val="left" w:pos="709"/>
          <w:tab w:val="left" w:pos="1418"/>
        </w:tabs>
        <w:autoSpaceDE w:val="0"/>
        <w:autoSpaceDN w:val="0"/>
        <w:spacing w:line="240" w:lineRule="auto"/>
        <w:ind w:left="34"/>
        <w:jc w:val="both"/>
        <w:rPr>
          <w:rFonts w:ascii="Arial" w:eastAsia="Times New Roman" w:hAnsi="Arial" w:cs="Arial"/>
          <w:szCs w:val="24"/>
          <w:lang w:eastAsia="pt-BR"/>
        </w:rPr>
      </w:pPr>
      <w:bookmarkStart w:id="0" w:name="_GoBack"/>
      <w:bookmarkEnd w:id="0"/>
    </w:p>
    <w:p w:rsidR="001B5DD7" w:rsidRPr="001B5DD7" w:rsidRDefault="001B5DD7" w:rsidP="001B5DD7">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1B5DD7">
        <w:rPr>
          <w:rFonts w:ascii="Arial" w:eastAsia="Times New Roman" w:hAnsi="Arial" w:cs="Arial"/>
          <w:szCs w:val="24"/>
          <w:lang w:eastAsia="pt-BR"/>
        </w:rPr>
        <w:tab/>
      </w:r>
      <w:r w:rsidRPr="001B5DD7">
        <w:rPr>
          <w:rFonts w:ascii="Arial" w:eastAsia="Times New Roman" w:hAnsi="Arial" w:cs="Arial"/>
          <w:szCs w:val="24"/>
          <w:lang w:eastAsia="pt-BR"/>
        </w:rPr>
        <w:tab/>
        <w:t>No que diz respeito a sua competência, esta Comissão nada tem a objetar.</w:t>
      </w:r>
    </w:p>
    <w:p w:rsidR="001B5DD7" w:rsidRPr="001B5DD7" w:rsidRDefault="001B5DD7" w:rsidP="001B5DD7">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1B5DD7" w:rsidRPr="001B5DD7" w:rsidRDefault="001B5DD7" w:rsidP="001B5DD7">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1B5DD7">
        <w:rPr>
          <w:rFonts w:ascii="Arial" w:eastAsia="Times New Roman" w:hAnsi="Arial" w:cs="Arial"/>
          <w:szCs w:val="24"/>
          <w:lang w:eastAsia="pt-BR"/>
        </w:rPr>
        <w:tab/>
      </w:r>
      <w:r w:rsidRPr="001B5DD7">
        <w:rPr>
          <w:rFonts w:ascii="Arial" w:eastAsia="Times New Roman" w:hAnsi="Arial" w:cs="Arial"/>
          <w:szCs w:val="24"/>
          <w:lang w:eastAsia="pt-BR"/>
        </w:rPr>
        <w:tab/>
        <w:t>Cabe ao plenário decidir.</w:t>
      </w:r>
    </w:p>
    <w:p w:rsidR="001B5DD7" w:rsidRPr="001B5DD7" w:rsidRDefault="001B5DD7" w:rsidP="001B5DD7">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1B5DD7" w:rsidRPr="001B5DD7" w:rsidRDefault="001B5DD7" w:rsidP="001B5DD7">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1B5DD7">
        <w:rPr>
          <w:rFonts w:ascii="Arial" w:eastAsia="Times New Roman" w:hAnsi="Arial" w:cs="Arial"/>
          <w:szCs w:val="24"/>
          <w:lang w:eastAsia="pt-BR"/>
        </w:rPr>
        <w:tab/>
      </w:r>
      <w:r w:rsidRPr="001B5DD7">
        <w:rPr>
          <w:rFonts w:ascii="Arial" w:eastAsia="Times New Roman" w:hAnsi="Arial" w:cs="Arial"/>
          <w:szCs w:val="24"/>
          <w:lang w:eastAsia="pt-BR"/>
        </w:rPr>
        <w:tab/>
        <w:t>É o parecer.</w:t>
      </w:r>
    </w:p>
    <w:p w:rsidR="00FF26D8" w:rsidRDefault="00FF26D8" w:rsidP="00FF26D8">
      <w:pPr>
        <w:autoSpaceDE w:val="0"/>
        <w:autoSpaceDN w:val="0"/>
        <w:spacing w:line="240" w:lineRule="auto"/>
        <w:rPr>
          <w:rFonts w:ascii="Arial" w:eastAsia="Times New Roman" w:hAnsi="Arial" w:cs="Arial"/>
          <w:szCs w:val="24"/>
          <w:lang w:eastAsia="pt-BR"/>
        </w:rPr>
      </w:pPr>
    </w:p>
    <w:p w:rsidR="00136F9D" w:rsidRPr="00136F9D" w:rsidRDefault="00136F9D" w:rsidP="00FF26D8">
      <w:pPr>
        <w:autoSpaceDE w:val="0"/>
        <w:autoSpaceDN w:val="0"/>
        <w:spacing w:line="240" w:lineRule="auto"/>
        <w:ind w:left="708" w:firstLine="708"/>
        <w:rPr>
          <w:rFonts w:ascii="Arial" w:eastAsia="Times New Roman" w:hAnsi="Arial" w:cs="Arial"/>
          <w:bCs/>
          <w:szCs w:val="24"/>
          <w:lang w:eastAsia="pt-BR"/>
        </w:rPr>
      </w:pPr>
      <w:r w:rsidRPr="00136F9D">
        <w:rPr>
          <w:rFonts w:ascii="Arial" w:eastAsia="Times New Roman" w:hAnsi="Arial" w:cs="Arial"/>
          <w:bCs/>
          <w:szCs w:val="24"/>
          <w:lang w:eastAsia="pt-BR"/>
        </w:rPr>
        <w:t>Sala de reuniões das comissões, ______________________</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w:t>
      </w:r>
    </w:p>
    <w:p w:rsidR="00136F9D" w:rsidRPr="00136F9D" w:rsidRDefault="00136F9D" w:rsidP="00136F9D">
      <w:pPr>
        <w:autoSpaceDE w:val="0"/>
        <w:autoSpaceDN w:val="0"/>
        <w:spacing w:line="240" w:lineRule="auto"/>
        <w:ind w:left="34"/>
        <w:jc w:val="center"/>
        <w:rPr>
          <w:rFonts w:ascii="Arial" w:eastAsia="Times New Roman" w:hAnsi="Arial" w:cs="Arial"/>
          <w:b/>
          <w:bCs/>
          <w:szCs w:val="24"/>
          <w:lang w:eastAsia="pt-BR"/>
        </w:rPr>
      </w:pPr>
      <w:r w:rsidRPr="00136F9D">
        <w:rPr>
          <w:rFonts w:ascii="Arial" w:eastAsia="Times New Roman" w:hAnsi="Arial" w:cs="Arial"/>
          <w:b/>
          <w:bCs/>
          <w:szCs w:val="24"/>
          <w:lang w:eastAsia="pt-BR"/>
        </w:rPr>
        <w:t>Zé Luiz (Zé Macaco)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
          <w:bCs/>
          <w:szCs w:val="24"/>
          <w:lang w:eastAsia="pt-BR"/>
        </w:rPr>
        <w:t>Presidente da CTFO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              ____________________________</w:t>
      </w:r>
    </w:p>
    <w:p w:rsidR="00136F9D" w:rsidRPr="00136F9D" w:rsidRDefault="00136F9D" w:rsidP="00136F9D">
      <w:pPr>
        <w:autoSpaceDE w:val="0"/>
        <w:autoSpaceDN w:val="0"/>
        <w:spacing w:line="240" w:lineRule="auto"/>
        <w:ind w:left="34"/>
        <w:jc w:val="both"/>
        <w:rPr>
          <w:rFonts w:ascii="Arial" w:eastAsia="Times New Roman" w:hAnsi="Arial" w:cs="Arial"/>
          <w:b/>
          <w:bCs/>
          <w:szCs w:val="24"/>
          <w:lang w:eastAsia="pt-BR"/>
        </w:rPr>
      </w:pP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Elias Chediek</w:t>
      </w:r>
      <w:r w:rsidRPr="00136F9D">
        <w:rPr>
          <w:rFonts w:ascii="Arial" w:eastAsia="Times New Roman" w:hAnsi="Arial" w:cs="Arial"/>
          <w:b/>
          <w:bCs/>
          <w:szCs w:val="24"/>
          <w:lang w:eastAsia="pt-BR"/>
        </w:rPr>
        <w:tab/>
        <w:t xml:space="preserve">                       </w:t>
      </w: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Juliana Damus</w:t>
      </w:r>
    </w:p>
    <w:p w:rsidR="00136F9D" w:rsidRPr="00136F9D" w:rsidRDefault="00136F9D" w:rsidP="00136F9D">
      <w:pPr>
        <w:autoSpaceDE w:val="0"/>
        <w:autoSpaceDN w:val="0"/>
        <w:spacing w:line="240" w:lineRule="auto"/>
        <w:ind w:left="34"/>
        <w:jc w:val="center"/>
        <w:rPr>
          <w:rFonts w:ascii="Arial" w:eastAsia="Times New Roman" w:hAnsi="Arial" w:cs="Arial"/>
          <w:b/>
          <w:bCs/>
          <w:szCs w:val="24"/>
          <w:lang w:eastAsia="pt-BR"/>
        </w:rPr>
      </w:pPr>
    </w:p>
    <w:sectPr w:rsidR="00136F9D" w:rsidRPr="00136F9D" w:rsidSect="00A939CC">
      <w:headerReference w:type="even" r:id="rId8"/>
      <w:headerReference w:type="default" r:id="rId9"/>
      <w:footerReference w:type="even" r:id="rId10"/>
      <w:footerReference w:type="default" r:id="rId11"/>
      <w:headerReference w:type="first" r:id="rId12"/>
      <w:footerReference w:type="first" r:id="rId13"/>
      <w:pgSz w:w="11906" w:h="16838"/>
      <w:pgMar w:top="1701" w:right="1701" w:bottom="1134" w:left="1701" w:header="567" w:footer="356" w:gutter="0"/>
      <w:pgNumType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556D5" w:rsidRDefault="00E556D5" w:rsidP="00126850">
      <w:pPr>
        <w:spacing w:line="240" w:lineRule="auto"/>
      </w:pPr>
      <w:r>
        <w:separator/>
      </w:r>
    </w:p>
  </w:endnote>
  <w:endnote w:type="continuationSeparator" w:id="0">
    <w:p w:rsidR="00E556D5" w:rsidRDefault="00E556D5" w:rsidP="001268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258C" w:rsidRDefault="0062258C">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59734412"/>
      <w:docPartObj>
        <w:docPartGallery w:val="Page Numbers (Bottom of Page)"/>
        <w:docPartUnique/>
      </w:docPartObj>
    </w:sdtPr>
    <w:sdtEndPr/>
    <w:sdtContent>
      <w:sdt>
        <w:sdtPr>
          <w:id w:val="1459989175"/>
          <w:docPartObj>
            <w:docPartGallery w:val="Page Numbers (Top of Page)"/>
            <w:docPartUnique/>
          </w:docPartObj>
        </w:sdtPr>
        <w:sdtEndPr/>
        <w:sdtContent>
          <w:p w:rsidR="00A939CC" w:rsidRPr="00136F9D" w:rsidRDefault="00A939CC" w:rsidP="00A939CC">
            <w:pPr>
              <w:pStyle w:val="Cabealho"/>
              <w:jc w:val="center"/>
              <w:rPr>
                <w:rFonts w:asciiTheme="majorHAnsi" w:hAnsiTheme="majorHAnsi"/>
                <w:b/>
                <w:szCs w:val="24"/>
              </w:rPr>
            </w:pPr>
            <w:r w:rsidRPr="00136F9D">
              <w:rPr>
                <w:rFonts w:asciiTheme="majorHAnsi" w:hAnsiTheme="majorHAnsi"/>
                <w:b/>
                <w:szCs w:val="24"/>
              </w:rPr>
              <w:t>_________________________________________________________________________________</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Rua São Bento, 887, Centro, Araraquara - SP, CEP 14801-300</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www.camara-arq.sp.gov.br</w:t>
            </w:r>
          </w:p>
          <w:p w:rsidR="00A939CC" w:rsidRDefault="00A939CC">
            <w:pPr>
              <w:pStyle w:val="Rodap"/>
              <w:jc w:val="right"/>
            </w:pPr>
            <w:r w:rsidRPr="00136F9D">
              <w:rPr>
                <w:rFonts w:asciiTheme="majorHAnsi" w:hAnsiTheme="majorHAnsi"/>
              </w:rPr>
              <w:t xml:space="preserve">Página </w:t>
            </w:r>
            <w:r w:rsidRPr="00136F9D">
              <w:rPr>
                <w:rFonts w:asciiTheme="majorHAnsi" w:hAnsiTheme="majorHAnsi"/>
                <w:b/>
                <w:bCs/>
                <w:szCs w:val="24"/>
              </w:rPr>
              <w:fldChar w:fldCharType="begin"/>
            </w:r>
            <w:r w:rsidRPr="00136F9D">
              <w:rPr>
                <w:rFonts w:asciiTheme="majorHAnsi" w:hAnsiTheme="majorHAnsi"/>
                <w:b/>
                <w:bCs/>
              </w:rPr>
              <w:instrText>PAGE</w:instrText>
            </w:r>
            <w:r w:rsidRPr="00136F9D">
              <w:rPr>
                <w:rFonts w:asciiTheme="majorHAnsi" w:hAnsiTheme="majorHAnsi"/>
                <w:b/>
                <w:bCs/>
                <w:szCs w:val="24"/>
              </w:rPr>
              <w:fldChar w:fldCharType="separate"/>
            </w:r>
            <w:r w:rsidR="00B97234">
              <w:rPr>
                <w:rFonts w:asciiTheme="majorHAnsi" w:hAnsiTheme="majorHAnsi"/>
                <w:b/>
                <w:bCs/>
                <w:noProof/>
              </w:rPr>
              <w:t>1</w:t>
            </w:r>
            <w:r w:rsidRPr="00136F9D">
              <w:rPr>
                <w:rFonts w:asciiTheme="majorHAnsi" w:hAnsiTheme="majorHAnsi"/>
                <w:b/>
                <w:bCs/>
                <w:szCs w:val="24"/>
              </w:rPr>
              <w:fldChar w:fldCharType="end"/>
            </w:r>
            <w:r w:rsidRPr="00136F9D">
              <w:rPr>
                <w:rFonts w:asciiTheme="majorHAnsi" w:hAnsiTheme="majorHAnsi"/>
              </w:rPr>
              <w:t xml:space="preserve"> de </w:t>
            </w:r>
            <w:r w:rsidRPr="00136F9D">
              <w:rPr>
                <w:rFonts w:asciiTheme="majorHAnsi" w:hAnsiTheme="majorHAnsi"/>
                <w:b/>
                <w:bCs/>
                <w:szCs w:val="24"/>
              </w:rPr>
              <w:fldChar w:fldCharType="begin"/>
            </w:r>
            <w:r w:rsidRPr="00136F9D">
              <w:rPr>
                <w:rFonts w:asciiTheme="majorHAnsi" w:hAnsiTheme="majorHAnsi"/>
                <w:b/>
                <w:bCs/>
              </w:rPr>
              <w:instrText>NUMPAGES</w:instrText>
            </w:r>
            <w:r w:rsidRPr="00136F9D">
              <w:rPr>
                <w:rFonts w:asciiTheme="majorHAnsi" w:hAnsiTheme="majorHAnsi"/>
                <w:b/>
                <w:bCs/>
                <w:szCs w:val="24"/>
              </w:rPr>
              <w:fldChar w:fldCharType="separate"/>
            </w:r>
            <w:r w:rsidR="00B97234">
              <w:rPr>
                <w:rFonts w:asciiTheme="majorHAnsi" w:hAnsiTheme="majorHAnsi"/>
                <w:b/>
                <w:bCs/>
                <w:noProof/>
              </w:rPr>
              <w:t>1</w:t>
            </w:r>
            <w:r w:rsidRPr="00136F9D">
              <w:rPr>
                <w:rFonts w:asciiTheme="majorHAnsi" w:hAnsiTheme="majorHAnsi"/>
                <w:b/>
                <w:bCs/>
                <w:szCs w:val="24"/>
              </w:rPr>
              <w:fldChar w:fldCharType="end"/>
            </w:r>
          </w:p>
        </w:sdtContent>
      </w:sdt>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258C" w:rsidRDefault="0062258C">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556D5" w:rsidRDefault="00E556D5" w:rsidP="00126850">
      <w:pPr>
        <w:spacing w:line="240" w:lineRule="auto"/>
      </w:pPr>
      <w:r>
        <w:separator/>
      </w:r>
    </w:p>
  </w:footnote>
  <w:footnote w:type="continuationSeparator" w:id="0">
    <w:p w:rsidR="00E556D5" w:rsidRDefault="00E556D5" w:rsidP="0012685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258C" w:rsidRDefault="0062258C">
    <w:pPr>
      <w:pStyle w:val="Cabealh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65" w:rsidRPr="00A939CC" w:rsidRDefault="00751C03" w:rsidP="00751C03">
    <w:pPr>
      <w:spacing w:after="120" w:line="240" w:lineRule="auto"/>
      <w:jc w:val="center"/>
      <w:rPr>
        <w:rFonts w:ascii="Cambria" w:hAnsi="Cambria"/>
        <w:smallCaps/>
        <w:color w:val="0070C0"/>
        <w:sz w:val="50"/>
      </w:rPr>
    </w:pPr>
    <w:r w:rsidRPr="00A939CC">
      <w:rPr>
        <w:noProof/>
        <w:color w:val="0070C0"/>
        <w:lang w:eastAsia="pt-BR"/>
      </w:rPr>
      <w:drawing>
        <wp:anchor distT="0" distB="0" distL="114300" distR="114300" simplePos="0" relativeHeight="251661312" behindDoc="0" locked="0" layoutInCell="1" allowOverlap="1">
          <wp:simplePos x="0" y="0"/>
          <wp:positionH relativeFrom="margin">
            <wp:align>left</wp:align>
          </wp:positionH>
          <wp:positionV relativeFrom="paragraph">
            <wp:posOffset>-155575</wp:posOffset>
          </wp:positionV>
          <wp:extent cx="798195" cy="878205"/>
          <wp:effectExtent l="0" t="0" r="1905" b="0"/>
          <wp:wrapSquare wrapText="bothSides"/>
          <wp:docPr id="3" name="Imagem 3"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ão - sem assinatur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8195" cy="878205"/>
                  </a:xfrm>
                  <a:prstGeom prst="rect">
                    <a:avLst/>
                  </a:prstGeom>
                  <a:noFill/>
                  <a:ln>
                    <a:noFill/>
                  </a:ln>
                </pic:spPr>
              </pic:pic>
            </a:graphicData>
          </a:graphic>
          <wp14:sizeRelH relativeFrom="page">
            <wp14:pctWidth>0</wp14:pctWidth>
          </wp14:sizeRelH>
          <wp14:sizeRelV relativeFrom="page">
            <wp14:pctHeight>0</wp14:pctHeight>
          </wp14:sizeRelV>
        </wp:anchor>
      </w:drawing>
    </w:r>
    <w:r w:rsidR="002F5765" w:rsidRPr="00A939CC">
      <w:rPr>
        <w:rFonts w:ascii="Cambria" w:hAnsi="Cambria"/>
        <w:smallCaps/>
        <w:color w:val="0070C0"/>
        <w:sz w:val="50"/>
      </w:rPr>
      <w:t>Câmara Municipal de Araraquara</w:t>
    </w:r>
  </w:p>
  <w:p w:rsidR="002F5765" w:rsidRPr="001E186C" w:rsidRDefault="00A939CC" w:rsidP="00751C03">
    <w:pPr>
      <w:spacing w:line="240" w:lineRule="auto"/>
      <w:jc w:val="center"/>
      <w:rPr>
        <w:rFonts w:ascii="Arial" w:hAnsi="Arial"/>
        <w:sz w:val="28"/>
        <w:szCs w:val="32"/>
      </w:rPr>
    </w:pPr>
    <w:r>
      <w:rPr>
        <w:rFonts w:ascii="Arial" w:hAnsi="Arial"/>
        <w:sz w:val="28"/>
        <w:szCs w:val="32"/>
      </w:rPr>
      <w:t xml:space="preserve">Comissão de </w:t>
    </w:r>
    <w:r w:rsidR="0062258C">
      <w:rPr>
        <w:rFonts w:ascii="Arial" w:hAnsi="Arial"/>
        <w:sz w:val="28"/>
        <w:szCs w:val="32"/>
      </w:rPr>
      <w:t>Tributação, Finanças e Orçamento</w:t>
    </w:r>
  </w:p>
  <w:p w:rsidR="002F5765" w:rsidRPr="00136F9D" w:rsidRDefault="002F5765">
    <w:pPr>
      <w:pStyle w:val="Cabealho"/>
      <w:rPr>
        <w:rFonts w:ascii="Calibri Light" w:hAnsi="Calibri Light"/>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258C" w:rsidRDefault="0062258C">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3750FB"/>
    <w:multiLevelType w:val="hybridMultilevel"/>
    <w:tmpl w:val="FAB8F3C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660805D8"/>
    <w:multiLevelType w:val="hybridMultilevel"/>
    <w:tmpl w:val="41EA025E"/>
    <w:lvl w:ilvl="0" w:tplc="6610FEC4">
      <w:start w:val="1"/>
      <w:numFmt w:val="lowerLetter"/>
      <w:lvlText w:val="%1)"/>
      <w:lvlJc w:val="left"/>
      <w:pPr>
        <w:ind w:left="410" w:hanging="360"/>
      </w:pPr>
      <w:rPr>
        <w:rFonts w:hint="default"/>
      </w:rPr>
    </w:lvl>
    <w:lvl w:ilvl="1" w:tplc="04160019" w:tentative="1">
      <w:start w:val="1"/>
      <w:numFmt w:val="lowerLetter"/>
      <w:lvlText w:val="%2."/>
      <w:lvlJc w:val="left"/>
      <w:pPr>
        <w:ind w:left="1130" w:hanging="360"/>
      </w:pPr>
    </w:lvl>
    <w:lvl w:ilvl="2" w:tplc="0416001B" w:tentative="1">
      <w:start w:val="1"/>
      <w:numFmt w:val="lowerRoman"/>
      <w:lvlText w:val="%3."/>
      <w:lvlJc w:val="right"/>
      <w:pPr>
        <w:ind w:left="1850" w:hanging="180"/>
      </w:pPr>
    </w:lvl>
    <w:lvl w:ilvl="3" w:tplc="0416000F" w:tentative="1">
      <w:start w:val="1"/>
      <w:numFmt w:val="decimal"/>
      <w:lvlText w:val="%4."/>
      <w:lvlJc w:val="left"/>
      <w:pPr>
        <w:ind w:left="2570" w:hanging="360"/>
      </w:pPr>
    </w:lvl>
    <w:lvl w:ilvl="4" w:tplc="04160019" w:tentative="1">
      <w:start w:val="1"/>
      <w:numFmt w:val="lowerLetter"/>
      <w:lvlText w:val="%5."/>
      <w:lvlJc w:val="left"/>
      <w:pPr>
        <w:ind w:left="3290" w:hanging="360"/>
      </w:pPr>
    </w:lvl>
    <w:lvl w:ilvl="5" w:tplc="0416001B" w:tentative="1">
      <w:start w:val="1"/>
      <w:numFmt w:val="lowerRoman"/>
      <w:lvlText w:val="%6."/>
      <w:lvlJc w:val="right"/>
      <w:pPr>
        <w:ind w:left="4010" w:hanging="180"/>
      </w:pPr>
    </w:lvl>
    <w:lvl w:ilvl="6" w:tplc="0416000F" w:tentative="1">
      <w:start w:val="1"/>
      <w:numFmt w:val="decimal"/>
      <w:lvlText w:val="%7."/>
      <w:lvlJc w:val="left"/>
      <w:pPr>
        <w:ind w:left="4730" w:hanging="360"/>
      </w:pPr>
    </w:lvl>
    <w:lvl w:ilvl="7" w:tplc="04160019" w:tentative="1">
      <w:start w:val="1"/>
      <w:numFmt w:val="lowerLetter"/>
      <w:lvlText w:val="%8."/>
      <w:lvlJc w:val="left"/>
      <w:pPr>
        <w:ind w:left="5450" w:hanging="360"/>
      </w:pPr>
    </w:lvl>
    <w:lvl w:ilvl="8" w:tplc="0416001B" w:tentative="1">
      <w:start w:val="1"/>
      <w:numFmt w:val="lowerRoman"/>
      <w:lvlText w:val="%9."/>
      <w:lvlJc w:val="right"/>
      <w:pPr>
        <w:ind w:left="6170" w:hanging="180"/>
      </w:pPr>
    </w:lvl>
  </w:abstractNum>
  <w:abstractNum w:abstractNumId="2">
    <w:nsid w:val="6E451FD0"/>
    <w:multiLevelType w:val="hybridMultilevel"/>
    <w:tmpl w:val="3E84BF56"/>
    <w:lvl w:ilvl="0" w:tplc="0416000F">
      <w:start w:val="1"/>
      <w:numFmt w:val="decimal"/>
      <w:lvlText w:val="%1."/>
      <w:lvlJc w:val="left"/>
      <w:pPr>
        <w:ind w:left="770" w:hanging="360"/>
      </w:pPr>
    </w:lvl>
    <w:lvl w:ilvl="1" w:tplc="04160019" w:tentative="1">
      <w:start w:val="1"/>
      <w:numFmt w:val="lowerLetter"/>
      <w:lvlText w:val="%2."/>
      <w:lvlJc w:val="left"/>
      <w:pPr>
        <w:ind w:left="1490" w:hanging="360"/>
      </w:pPr>
    </w:lvl>
    <w:lvl w:ilvl="2" w:tplc="0416001B" w:tentative="1">
      <w:start w:val="1"/>
      <w:numFmt w:val="lowerRoman"/>
      <w:lvlText w:val="%3."/>
      <w:lvlJc w:val="right"/>
      <w:pPr>
        <w:ind w:left="2210" w:hanging="180"/>
      </w:pPr>
    </w:lvl>
    <w:lvl w:ilvl="3" w:tplc="0416000F" w:tentative="1">
      <w:start w:val="1"/>
      <w:numFmt w:val="decimal"/>
      <w:lvlText w:val="%4."/>
      <w:lvlJc w:val="left"/>
      <w:pPr>
        <w:ind w:left="2930" w:hanging="360"/>
      </w:pPr>
    </w:lvl>
    <w:lvl w:ilvl="4" w:tplc="04160019" w:tentative="1">
      <w:start w:val="1"/>
      <w:numFmt w:val="lowerLetter"/>
      <w:lvlText w:val="%5."/>
      <w:lvlJc w:val="left"/>
      <w:pPr>
        <w:ind w:left="3650" w:hanging="360"/>
      </w:pPr>
    </w:lvl>
    <w:lvl w:ilvl="5" w:tplc="0416001B" w:tentative="1">
      <w:start w:val="1"/>
      <w:numFmt w:val="lowerRoman"/>
      <w:lvlText w:val="%6."/>
      <w:lvlJc w:val="right"/>
      <w:pPr>
        <w:ind w:left="4370" w:hanging="180"/>
      </w:pPr>
    </w:lvl>
    <w:lvl w:ilvl="6" w:tplc="0416000F" w:tentative="1">
      <w:start w:val="1"/>
      <w:numFmt w:val="decimal"/>
      <w:lvlText w:val="%7."/>
      <w:lvlJc w:val="left"/>
      <w:pPr>
        <w:ind w:left="5090" w:hanging="360"/>
      </w:pPr>
    </w:lvl>
    <w:lvl w:ilvl="7" w:tplc="04160019" w:tentative="1">
      <w:start w:val="1"/>
      <w:numFmt w:val="lowerLetter"/>
      <w:lvlText w:val="%8."/>
      <w:lvlJc w:val="left"/>
      <w:pPr>
        <w:ind w:left="5810" w:hanging="360"/>
      </w:pPr>
    </w:lvl>
    <w:lvl w:ilvl="8" w:tplc="0416001B" w:tentative="1">
      <w:start w:val="1"/>
      <w:numFmt w:val="lowerRoman"/>
      <w:lvlText w:val="%9."/>
      <w:lvlJc w:val="right"/>
      <w:pPr>
        <w:ind w:left="653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52D"/>
    <w:rsid w:val="0000107A"/>
    <w:rsid w:val="000022A6"/>
    <w:rsid w:val="000031AE"/>
    <w:rsid w:val="000175A6"/>
    <w:rsid w:val="000233B5"/>
    <w:rsid w:val="00024445"/>
    <w:rsid w:val="00031A6A"/>
    <w:rsid w:val="00037AD0"/>
    <w:rsid w:val="000430CE"/>
    <w:rsid w:val="000463D4"/>
    <w:rsid w:val="000477D9"/>
    <w:rsid w:val="00055EFF"/>
    <w:rsid w:val="000745D9"/>
    <w:rsid w:val="000805FE"/>
    <w:rsid w:val="00085AB3"/>
    <w:rsid w:val="0009552F"/>
    <w:rsid w:val="000A3863"/>
    <w:rsid w:val="000B0F87"/>
    <w:rsid w:val="000B3DCA"/>
    <w:rsid w:val="000B604E"/>
    <w:rsid w:val="000B74D3"/>
    <w:rsid w:val="000C5E7B"/>
    <w:rsid w:val="000D29BF"/>
    <w:rsid w:val="000D3138"/>
    <w:rsid w:val="000D6E02"/>
    <w:rsid w:val="000E4448"/>
    <w:rsid w:val="000F3FE4"/>
    <w:rsid w:val="00103D27"/>
    <w:rsid w:val="00110688"/>
    <w:rsid w:val="001108EC"/>
    <w:rsid w:val="00112AE8"/>
    <w:rsid w:val="0012203E"/>
    <w:rsid w:val="00125F89"/>
    <w:rsid w:val="00126850"/>
    <w:rsid w:val="0013543B"/>
    <w:rsid w:val="001362F6"/>
    <w:rsid w:val="00136F9D"/>
    <w:rsid w:val="00142621"/>
    <w:rsid w:val="001432A3"/>
    <w:rsid w:val="001545AF"/>
    <w:rsid w:val="00166BC6"/>
    <w:rsid w:val="0017202C"/>
    <w:rsid w:val="00172DCA"/>
    <w:rsid w:val="00173F4C"/>
    <w:rsid w:val="00176546"/>
    <w:rsid w:val="001766DC"/>
    <w:rsid w:val="00185DF4"/>
    <w:rsid w:val="001915A0"/>
    <w:rsid w:val="001941A7"/>
    <w:rsid w:val="001A462F"/>
    <w:rsid w:val="001B1AA9"/>
    <w:rsid w:val="001B5DD7"/>
    <w:rsid w:val="001C00A7"/>
    <w:rsid w:val="001D70B1"/>
    <w:rsid w:val="001E186C"/>
    <w:rsid w:val="001E7134"/>
    <w:rsid w:val="001F77BF"/>
    <w:rsid w:val="00204F41"/>
    <w:rsid w:val="002100B5"/>
    <w:rsid w:val="0021066F"/>
    <w:rsid w:val="00216529"/>
    <w:rsid w:val="00226348"/>
    <w:rsid w:val="0022698D"/>
    <w:rsid w:val="0023204E"/>
    <w:rsid w:val="002324EF"/>
    <w:rsid w:val="002347BC"/>
    <w:rsid w:val="00236FBB"/>
    <w:rsid w:val="0026535A"/>
    <w:rsid w:val="00272320"/>
    <w:rsid w:val="00274DAC"/>
    <w:rsid w:val="0028013F"/>
    <w:rsid w:val="00281A7C"/>
    <w:rsid w:val="002821BE"/>
    <w:rsid w:val="00294D7F"/>
    <w:rsid w:val="00296F4F"/>
    <w:rsid w:val="002A2CB1"/>
    <w:rsid w:val="002A51FB"/>
    <w:rsid w:val="002B0F5D"/>
    <w:rsid w:val="002B7337"/>
    <w:rsid w:val="002C324C"/>
    <w:rsid w:val="002C51EC"/>
    <w:rsid w:val="002C70A2"/>
    <w:rsid w:val="002D6FE2"/>
    <w:rsid w:val="002E2968"/>
    <w:rsid w:val="002E4C11"/>
    <w:rsid w:val="002E555F"/>
    <w:rsid w:val="002F2944"/>
    <w:rsid w:val="002F5765"/>
    <w:rsid w:val="002F5A90"/>
    <w:rsid w:val="003029A5"/>
    <w:rsid w:val="0030770A"/>
    <w:rsid w:val="00324875"/>
    <w:rsid w:val="003345C9"/>
    <w:rsid w:val="00344FD9"/>
    <w:rsid w:val="003535BF"/>
    <w:rsid w:val="003651BB"/>
    <w:rsid w:val="00375815"/>
    <w:rsid w:val="003765B5"/>
    <w:rsid w:val="00381BD9"/>
    <w:rsid w:val="003A6E53"/>
    <w:rsid w:val="003D339F"/>
    <w:rsid w:val="003D7732"/>
    <w:rsid w:val="003E2A88"/>
    <w:rsid w:val="003E53DF"/>
    <w:rsid w:val="003F57F3"/>
    <w:rsid w:val="00403D90"/>
    <w:rsid w:val="00405402"/>
    <w:rsid w:val="004061D9"/>
    <w:rsid w:val="004107A7"/>
    <w:rsid w:val="00423EFE"/>
    <w:rsid w:val="00437607"/>
    <w:rsid w:val="00452481"/>
    <w:rsid w:val="00457314"/>
    <w:rsid w:val="00467A4B"/>
    <w:rsid w:val="0048193E"/>
    <w:rsid w:val="00487FA6"/>
    <w:rsid w:val="004B76A2"/>
    <w:rsid w:val="004C0464"/>
    <w:rsid w:val="004C08AB"/>
    <w:rsid w:val="004C21E4"/>
    <w:rsid w:val="004C2283"/>
    <w:rsid w:val="004C2425"/>
    <w:rsid w:val="004D7A1D"/>
    <w:rsid w:val="004E0809"/>
    <w:rsid w:val="004E1D74"/>
    <w:rsid w:val="004E4DB7"/>
    <w:rsid w:val="004F0A44"/>
    <w:rsid w:val="004F251B"/>
    <w:rsid w:val="004F3BA9"/>
    <w:rsid w:val="0050453B"/>
    <w:rsid w:val="0050743E"/>
    <w:rsid w:val="00520A83"/>
    <w:rsid w:val="00530438"/>
    <w:rsid w:val="005345CD"/>
    <w:rsid w:val="00543C84"/>
    <w:rsid w:val="005479AE"/>
    <w:rsid w:val="00552214"/>
    <w:rsid w:val="005574D6"/>
    <w:rsid w:val="00560F38"/>
    <w:rsid w:val="00563D96"/>
    <w:rsid w:val="005664DE"/>
    <w:rsid w:val="005676EF"/>
    <w:rsid w:val="00581D7A"/>
    <w:rsid w:val="00593A59"/>
    <w:rsid w:val="00593AB9"/>
    <w:rsid w:val="00597EFC"/>
    <w:rsid w:val="005A1737"/>
    <w:rsid w:val="005A48D1"/>
    <w:rsid w:val="005A55EA"/>
    <w:rsid w:val="005A5C82"/>
    <w:rsid w:val="005C0AD2"/>
    <w:rsid w:val="005C6FFB"/>
    <w:rsid w:val="005C7890"/>
    <w:rsid w:val="005D4CB8"/>
    <w:rsid w:val="005E41CD"/>
    <w:rsid w:val="005E56F1"/>
    <w:rsid w:val="005E5D0B"/>
    <w:rsid w:val="005E689B"/>
    <w:rsid w:val="005E6CA5"/>
    <w:rsid w:val="005F47F9"/>
    <w:rsid w:val="005F4B2B"/>
    <w:rsid w:val="005F4BA3"/>
    <w:rsid w:val="005F6B3E"/>
    <w:rsid w:val="006112CC"/>
    <w:rsid w:val="0062258C"/>
    <w:rsid w:val="00624A5E"/>
    <w:rsid w:val="00625E87"/>
    <w:rsid w:val="006302CD"/>
    <w:rsid w:val="006338C7"/>
    <w:rsid w:val="00634197"/>
    <w:rsid w:val="0063523E"/>
    <w:rsid w:val="00635F14"/>
    <w:rsid w:val="00636014"/>
    <w:rsid w:val="00642028"/>
    <w:rsid w:val="00646022"/>
    <w:rsid w:val="00655B36"/>
    <w:rsid w:val="006578A9"/>
    <w:rsid w:val="0066306B"/>
    <w:rsid w:val="00663FFB"/>
    <w:rsid w:val="006768B7"/>
    <w:rsid w:val="00690A1F"/>
    <w:rsid w:val="006A2506"/>
    <w:rsid w:val="006B2547"/>
    <w:rsid w:val="006B6B54"/>
    <w:rsid w:val="006D1A6E"/>
    <w:rsid w:val="006D3056"/>
    <w:rsid w:val="006D397C"/>
    <w:rsid w:val="006D7CD7"/>
    <w:rsid w:val="006E0481"/>
    <w:rsid w:val="006E796D"/>
    <w:rsid w:val="006F61D2"/>
    <w:rsid w:val="006F75E9"/>
    <w:rsid w:val="00705666"/>
    <w:rsid w:val="00707BD9"/>
    <w:rsid w:val="00714AE4"/>
    <w:rsid w:val="0072570A"/>
    <w:rsid w:val="007418D3"/>
    <w:rsid w:val="00751C03"/>
    <w:rsid w:val="00756229"/>
    <w:rsid w:val="00760CB5"/>
    <w:rsid w:val="007622D2"/>
    <w:rsid w:val="00781B87"/>
    <w:rsid w:val="00785355"/>
    <w:rsid w:val="00796FD3"/>
    <w:rsid w:val="007B4EDA"/>
    <w:rsid w:val="007D3E59"/>
    <w:rsid w:val="007D7A18"/>
    <w:rsid w:val="0080024E"/>
    <w:rsid w:val="00801A34"/>
    <w:rsid w:val="00807F5B"/>
    <w:rsid w:val="00814615"/>
    <w:rsid w:val="00814DC5"/>
    <w:rsid w:val="0082212A"/>
    <w:rsid w:val="00852AF6"/>
    <w:rsid w:val="00857BAF"/>
    <w:rsid w:val="00870902"/>
    <w:rsid w:val="00871077"/>
    <w:rsid w:val="008757C1"/>
    <w:rsid w:val="00877BAE"/>
    <w:rsid w:val="00887917"/>
    <w:rsid w:val="0089403A"/>
    <w:rsid w:val="008A3CA1"/>
    <w:rsid w:val="008B56CB"/>
    <w:rsid w:val="008B7176"/>
    <w:rsid w:val="008C5E36"/>
    <w:rsid w:val="008D0FE4"/>
    <w:rsid w:val="008E32AE"/>
    <w:rsid w:val="00901D0B"/>
    <w:rsid w:val="00903CF9"/>
    <w:rsid w:val="00907FF0"/>
    <w:rsid w:val="00910FA0"/>
    <w:rsid w:val="00913F52"/>
    <w:rsid w:val="0091434E"/>
    <w:rsid w:val="0092056F"/>
    <w:rsid w:val="009223C5"/>
    <w:rsid w:val="009310B6"/>
    <w:rsid w:val="009341F0"/>
    <w:rsid w:val="00935B48"/>
    <w:rsid w:val="009435AA"/>
    <w:rsid w:val="0095295F"/>
    <w:rsid w:val="00952E6F"/>
    <w:rsid w:val="00955D7C"/>
    <w:rsid w:val="00961ED4"/>
    <w:rsid w:val="009657F7"/>
    <w:rsid w:val="00975847"/>
    <w:rsid w:val="00982852"/>
    <w:rsid w:val="009828FF"/>
    <w:rsid w:val="00983AD4"/>
    <w:rsid w:val="00987183"/>
    <w:rsid w:val="009903A3"/>
    <w:rsid w:val="00990AC7"/>
    <w:rsid w:val="00991221"/>
    <w:rsid w:val="00991F61"/>
    <w:rsid w:val="00994C6A"/>
    <w:rsid w:val="009A48EC"/>
    <w:rsid w:val="009A6ED0"/>
    <w:rsid w:val="009C0DAD"/>
    <w:rsid w:val="009C4410"/>
    <w:rsid w:val="009C5FA0"/>
    <w:rsid w:val="009C77A1"/>
    <w:rsid w:val="009D2F70"/>
    <w:rsid w:val="009F0025"/>
    <w:rsid w:val="009F28CB"/>
    <w:rsid w:val="00A00E7C"/>
    <w:rsid w:val="00A01D42"/>
    <w:rsid w:val="00A0766E"/>
    <w:rsid w:val="00A16AEE"/>
    <w:rsid w:val="00A342B1"/>
    <w:rsid w:val="00A351A9"/>
    <w:rsid w:val="00A540E4"/>
    <w:rsid w:val="00A6784E"/>
    <w:rsid w:val="00A75CB6"/>
    <w:rsid w:val="00A75EC2"/>
    <w:rsid w:val="00A828F4"/>
    <w:rsid w:val="00A86C7B"/>
    <w:rsid w:val="00A939CC"/>
    <w:rsid w:val="00AA066E"/>
    <w:rsid w:val="00AA6B90"/>
    <w:rsid w:val="00AB1F68"/>
    <w:rsid w:val="00AB6B10"/>
    <w:rsid w:val="00AC217A"/>
    <w:rsid w:val="00AC4FB5"/>
    <w:rsid w:val="00AD4C29"/>
    <w:rsid w:val="00AE2A44"/>
    <w:rsid w:val="00AE79DA"/>
    <w:rsid w:val="00AF2DAA"/>
    <w:rsid w:val="00AF3D97"/>
    <w:rsid w:val="00AF560F"/>
    <w:rsid w:val="00AF6785"/>
    <w:rsid w:val="00B03915"/>
    <w:rsid w:val="00B11BE8"/>
    <w:rsid w:val="00B17E12"/>
    <w:rsid w:val="00B207CD"/>
    <w:rsid w:val="00B231F9"/>
    <w:rsid w:val="00B31E98"/>
    <w:rsid w:val="00B52D35"/>
    <w:rsid w:val="00B56353"/>
    <w:rsid w:val="00B57AFA"/>
    <w:rsid w:val="00B645B2"/>
    <w:rsid w:val="00B70FB6"/>
    <w:rsid w:val="00B80D48"/>
    <w:rsid w:val="00B87B27"/>
    <w:rsid w:val="00B92F72"/>
    <w:rsid w:val="00B9574E"/>
    <w:rsid w:val="00B97234"/>
    <w:rsid w:val="00BB599F"/>
    <w:rsid w:val="00BC0DE9"/>
    <w:rsid w:val="00BD7ABC"/>
    <w:rsid w:val="00C01FE7"/>
    <w:rsid w:val="00C1199D"/>
    <w:rsid w:val="00C20CBF"/>
    <w:rsid w:val="00C2184B"/>
    <w:rsid w:val="00C670FA"/>
    <w:rsid w:val="00C67C79"/>
    <w:rsid w:val="00C71281"/>
    <w:rsid w:val="00C74A18"/>
    <w:rsid w:val="00C753FA"/>
    <w:rsid w:val="00C766C1"/>
    <w:rsid w:val="00C77659"/>
    <w:rsid w:val="00C93D51"/>
    <w:rsid w:val="00CA3C0A"/>
    <w:rsid w:val="00CA6B5D"/>
    <w:rsid w:val="00CC4497"/>
    <w:rsid w:val="00CC4561"/>
    <w:rsid w:val="00CE2063"/>
    <w:rsid w:val="00CE362A"/>
    <w:rsid w:val="00CE4FE7"/>
    <w:rsid w:val="00CE67AD"/>
    <w:rsid w:val="00D01AF8"/>
    <w:rsid w:val="00D01AFB"/>
    <w:rsid w:val="00D11A28"/>
    <w:rsid w:val="00D11F9C"/>
    <w:rsid w:val="00D201B4"/>
    <w:rsid w:val="00D3315E"/>
    <w:rsid w:val="00D404CB"/>
    <w:rsid w:val="00D46F4C"/>
    <w:rsid w:val="00D637E5"/>
    <w:rsid w:val="00D73F1A"/>
    <w:rsid w:val="00D77189"/>
    <w:rsid w:val="00D94230"/>
    <w:rsid w:val="00DB085F"/>
    <w:rsid w:val="00DB3ADC"/>
    <w:rsid w:val="00DB50EC"/>
    <w:rsid w:val="00DD0E2F"/>
    <w:rsid w:val="00DD2377"/>
    <w:rsid w:val="00DD6CA2"/>
    <w:rsid w:val="00DD70EB"/>
    <w:rsid w:val="00DF1CCD"/>
    <w:rsid w:val="00E00389"/>
    <w:rsid w:val="00E00945"/>
    <w:rsid w:val="00E07B28"/>
    <w:rsid w:val="00E15CAA"/>
    <w:rsid w:val="00E30C44"/>
    <w:rsid w:val="00E32038"/>
    <w:rsid w:val="00E36C3D"/>
    <w:rsid w:val="00E40ADB"/>
    <w:rsid w:val="00E420A2"/>
    <w:rsid w:val="00E524C3"/>
    <w:rsid w:val="00E525B4"/>
    <w:rsid w:val="00E55328"/>
    <w:rsid w:val="00E556D5"/>
    <w:rsid w:val="00E64A3E"/>
    <w:rsid w:val="00E7174C"/>
    <w:rsid w:val="00E744E6"/>
    <w:rsid w:val="00E879BE"/>
    <w:rsid w:val="00E90A5C"/>
    <w:rsid w:val="00E91CB6"/>
    <w:rsid w:val="00E96629"/>
    <w:rsid w:val="00EA252D"/>
    <w:rsid w:val="00EB0DBA"/>
    <w:rsid w:val="00EB405C"/>
    <w:rsid w:val="00ED2CBE"/>
    <w:rsid w:val="00ED45DD"/>
    <w:rsid w:val="00ED5E38"/>
    <w:rsid w:val="00EE00AF"/>
    <w:rsid w:val="00EE1BB2"/>
    <w:rsid w:val="00EE2728"/>
    <w:rsid w:val="00EE7B2B"/>
    <w:rsid w:val="00EF2B79"/>
    <w:rsid w:val="00EF68B7"/>
    <w:rsid w:val="00F04CA2"/>
    <w:rsid w:val="00F269F6"/>
    <w:rsid w:val="00F26D6E"/>
    <w:rsid w:val="00F2707E"/>
    <w:rsid w:val="00F53ED0"/>
    <w:rsid w:val="00F53F67"/>
    <w:rsid w:val="00F56763"/>
    <w:rsid w:val="00F70343"/>
    <w:rsid w:val="00F7081F"/>
    <w:rsid w:val="00F7218A"/>
    <w:rsid w:val="00F75089"/>
    <w:rsid w:val="00F80A59"/>
    <w:rsid w:val="00F86861"/>
    <w:rsid w:val="00F873AA"/>
    <w:rsid w:val="00F9102D"/>
    <w:rsid w:val="00F94CCF"/>
    <w:rsid w:val="00FA644F"/>
    <w:rsid w:val="00FB05AF"/>
    <w:rsid w:val="00FB0977"/>
    <w:rsid w:val="00FC4AFA"/>
    <w:rsid w:val="00FC5C51"/>
    <w:rsid w:val="00FD469B"/>
    <w:rsid w:val="00FE11D0"/>
    <w:rsid w:val="00FF26D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3680ED4-5B03-4E66-9AC1-5E0BEC5FF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pt-BR" w:eastAsia="en-US"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066F"/>
  </w:style>
  <w:style w:type="paragraph" w:styleId="Ttulo1">
    <w:name w:val="heading 1"/>
    <w:basedOn w:val="Normal"/>
    <w:next w:val="Normal"/>
    <w:link w:val="Ttulo1Char"/>
    <w:uiPriority w:val="9"/>
    <w:qFormat/>
    <w:rsid w:val="00487FA6"/>
    <w:pPr>
      <w:keepNext/>
      <w:keepLines/>
      <w:spacing w:before="240"/>
      <w:outlineLvl w:val="0"/>
    </w:pPr>
    <w:rPr>
      <w:rFonts w:asciiTheme="majorHAnsi" w:eastAsiaTheme="majorEastAsia" w:hAnsiTheme="majorHAnsi" w:cstheme="majorBidi"/>
      <w:color w:val="4F81BD" w:themeColor="accent1"/>
      <w:sz w:val="40"/>
      <w:szCs w:val="32"/>
    </w:rPr>
  </w:style>
  <w:style w:type="paragraph" w:styleId="Ttulo2">
    <w:name w:val="heading 2"/>
    <w:basedOn w:val="Normal"/>
    <w:next w:val="Normal"/>
    <w:link w:val="Ttulo2Char"/>
    <w:uiPriority w:val="9"/>
    <w:unhideWhenUsed/>
    <w:qFormat/>
    <w:rsid w:val="000233B5"/>
    <w:pPr>
      <w:keepNext/>
      <w:keepLines/>
      <w:spacing w:before="40"/>
      <w:outlineLvl w:val="1"/>
    </w:pPr>
    <w:rPr>
      <w:rFonts w:asciiTheme="majorHAnsi" w:eastAsiaTheme="majorEastAsia" w:hAnsiTheme="majorHAnsi" w:cstheme="majorBidi"/>
      <w:color w:val="365F91" w:themeColor="accent1" w:themeShade="BF"/>
      <w:sz w:val="28"/>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Fontepargpadro"/>
    <w:uiPriority w:val="99"/>
    <w:semiHidden/>
    <w:unhideWhenUsed/>
    <w:rsid w:val="00A00E7C"/>
    <w:rPr>
      <w:sz w:val="16"/>
      <w:szCs w:val="16"/>
    </w:rPr>
  </w:style>
  <w:style w:type="paragraph" w:styleId="Textodecomentrio">
    <w:name w:val="annotation text"/>
    <w:basedOn w:val="Normal"/>
    <w:link w:val="TextodecomentrioChar"/>
    <w:uiPriority w:val="99"/>
    <w:semiHidden/>
    <w:unhideWhenUsed/>
    <w:rsid w:val="00A00E7C"/>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A00E7C"/>
    <w:rPr>
      <w:sz w:val="20"/>
      <w:szCs w:val="20"/>
    </w:rPr>
  </w:style>
  <w:style w:type="paragraph" w:styleId="Assuntodocomentrio">
    <w:name w:val="annotation subject"/>
    <w:basedOn w:val="Textodecomentrio"/>
    <w:next w:val="Textodecomentrio"/>
    <w:link w:val="AssuntodocomentrioChar"/>
    <w:uiPriority w:val="99"/>
    <w:semiHidden/>
    <w:unhideWhenUsed/>
    <w:rsid w:val="00A00E7C"/>
    <w:rPr>
      <w:b/>
      <w:bCs/>
    </w:rPr>
  </w:style>
  <w:style w:type="character" w:customStyle="1" w:styleId="AssuntodocomentrioChar">
    <w:name w:val="Assunto do comentário Char"/>
    <w:basedOn w:val="TextodecomentrioChar"/>
    <w:link w:val="Assuntodocomentrio"/>
    <w:uiPriority w:val="99"/>
    <w:semiHidden/>
    <w:rsid w:val="00A00E7C"/>
    <w:rPr>
      <w:b/>
      <w:bCs/>
      <w:sz w:val="20"/>
      <w:szCs w:val="20"/>
    </w:rPr>
  </w:style>
  <w:style w:type="paragraph" w:styleId="Textodebalo">
    <w:name w:val="Balloon Text"/>
    <w:basedOn w:val="Normal"/>
    <w:link w:val="TextodebaloChar"/>
    <w:uiPriority w:val="99"/>
    <w:semiHidden/>
    <w:unhideWhenUsed/>
    <w:rsid w:val="00A00E7C"/>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00E7C"/>
    <w:rPr>
      <w:rFonts w:ascii="Tahoma" w:hAnsi="Tahoma" w:cs="Tahoma"/>
      <w:sz w:val="16"/>
      <w:szCs w:val="16"/>
    </w:rPr>
  </w:style>
  <w:style w:type="table" w:styleId="Tabelacomgrade">
    <w:name w:val="Table Grid"/>
    <w:basedOn w:val="Tabelanormal"/>
    <w:uiPriority w:val="59"/>
    <w:rsid w:val="002D6FE2"/>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grafodaLista">
    <w:name w:val="List Paragraph"/>
    <w:basedOn w:val="Normal"/>
    <w:uiPriority w:val="34"/>
    <w:qFormat/>
    <w:rsid w:val="00714AE4"/>
    <w:pPr>
      <w:ind w:left="720"/>
      <w:contextualSpacing/>
    </w:pPr>
  </w:style>
  <w:style w:type="character" w:customStyle="1" w:styleId="Ttulo1Char">
    <w:name w:val="Título 1 Char"/>
    <w:basedOn w:val="Fontepargpadro"/>
    <w:link w:val="Ttulo1"/>
    <w:uiPriority w:val="9"/>
    <w:rsid w:val="00487FA6"/>
    <w:rPr>
      <w:rFonts w:asciiTheme="majorHAnsi" w:eastAsiaTheme="majorEastAsia" w:hAnsiTheme="majorHAnsi" w:cstheme="majorBidi"/>
      <w:color w:val="4F81BD" w:themeColor="accent1"/>
      <w:sz w:val="40"/>
      <w:szCs w:val="32"/>
    </w:rPr>
  </w:style>
  <w:style w:type="character" w:customStyle="1" w:styleId="Ttulo2Char">
    <w:name w:val="Título 2 Char"/>
    <w:basedOn w:val="Fontepargpadro"/>
    <w:link w:val="Ttulo2"/>
    <w:uiPriority w:val="9"/>
    <w:rsid w:val="000233B5"/>
    <w:rPr>
      <w:rFonts w:asciiTheme="majorHAnsi" w:eastAsiaTheme="majorEastAsia" w:hAnsiTheme="majorHAnsi" w:cstheme="majorBidi"/>
      <w:color w:val="365F91" w:themeColor="accent1" w:themeShade="BF"/>
      <w:sz w:val="28"/>
      <w:szCs w:val="26"/>
    </w:rPr>
  </w:style>
  <w:style w:type="paragraph" w:styleId="Cabealho">
    <w:name w:val="header"/>
    <w:basedOn w:val="Normal"/>
    <w:link w:val="CabealhoChar"/>
    <w:uiPriority w:val="99"/>
    <w:unhideWhenUsed/>
    <w:rsid w:val="00126850"/>
    <w:pPr>
      <w:tabs>
        <w:tab w:val="center" w:pos="4252"/>
        <w:tab w:val="right" w:pos="8504"/>
      </w:tabs>
      <w:spacing w:line="240" w:lineRule="auto"/>
    </w:pPr>
  </w:style>
  <w:style w:type="character" w:customStyle="1" w:styleId="CabealhoChar">
    <w:name w:val="Cabeçalho Char"/>
    <w:basedOn w:val="Fontepargpadro"/>
    <w:link w:val="Cabealho"/>
    <w:uiPriority w:val="99"/>
    <w:rsid w:val="00126850"/>
  </w:style>
  <w:style w:type="paragraph" w:styleId="Rodap">
    <w:name w:val="footer"/>
    <w:basedOn w:val="Normal"/>
    <w:link w:val="RodapChar"/>
    <w:uiPriority w:val="99"/>
    <w:unhideWhenUsed/>
    <w:rsid w:val="00126850"/>
    <w:pPr>
      <w:tabs>
        <w:tab w:val="center" w:pos="4252"/>
        <w:tab w:val="right" w:pos="8504"/>
      </w:tabs>
      <w:spacing w:line="240" w:lineRule="auto"/>
    </w:pPr>
  </w:style>
  <w:style w:type="character" w:customStyle="1" w:styleId="RodapChar">
    <w:name w:val="Rodapé Char"/>
    <w:basedOn w:val="Fontepargpadro"/>
    <w:link w:val="Rodap"/>
    <w:uiPriority w:val="99"/>
    <w:rsid w:val="00126850"/>
  </w:style>
  <w:style w:type="paragraph" w:styleId="CabealhodoSumrio">
    <w:name w:val="TOC Heading"/>
    <w:basedOn w:val="Ttulo1"/>
    <w:next w:val="Normal"/>
    <w:uiPriority w:val="39"/>
    <w:unhideWhenUsed/>
    <w:qFormat/>
    <w:rsid w:val="0028013F"/>
    <w:pPr>
      <w:spacing w:line="259" w:lineRule="auto"/>
      <w:outlineLvl w:val="9"/>
    </w:pPr>
    <w:rPr>
      <w:b/>
      <w:color w:val="365F91" w:themeColor="accent1" w:themeShade="BF"/>
      <w:lang w:eastAsia="pt-BR"/>
    </w:rPr>
  </w:style>
  <w:style w:type="paragraph" w:styleId="Sumrio1">
    <w:name w:val="toc 1"/>
    <w:basedOn w:val="Normal"/>
    <w:next w:val="Normal"/>
    <w:autoRedefine/>
    <w:uiPriority w:val="39"/>
    <w:unhideWhenUsed/>
    <w:rsid w:val="0028013F"/>
    <w:pPr>
      <w:tabs>
        <w:tab w:val="right" w:leader="dot" w:pos="9061"/>
      </w:tabs>
      <w:spacing w:after="100"/>
    </w:pPr>
    <w:rPr>
      <w:rFonts w:asciiTheme="majorHAnsi" w:hAnsiTheme="majorHAnsi"/>
      <w:noProof/>
      <w:sz w:val="32"/>
      <w:szCs w:val="32"/>
    </w:rPr>
  </w:style>
  <w:style w:type="paragraph" w:styleId="Sumrio2">
    <w:name w:val="toc 2"/>
    <w:basedOn w:val="Normal"/>
    <w:next w:val="Normal"/>
    <w:autoRedefine/>
    <w:uiPriority w:val="39"/>
    <w:unhideWhenUsed/>
    <w:rsid w:val="0028013F"/>
    <w:pPr>
      <w:spacing w:after="100"/>
      <w:ind w:left="240"/>
    </w:pPr>
  </w:style>
  <w:style w:type="character" w:styleId="Hyperlink">
    <w:name w:val="Hyperlink"/>
    <w:basedOn w:val="Fontepargpadro"/>
    <w:uiPriority w:val="99"/>
    <w:unhideWhenUsed/>
    <w:rsid w:val="0028013F"/>
    <w:rPr>
      <w:color w:val="0000FF" w:themeColor="hyperlink"/>
      <w:u w:val="single"/>
    </w:rPr>
  </w:style>
  <w:style w:type="character" w:customStyle="1" w:styleId="Estilo1">
    <w:name w:val="Estilo1"/>
    <w:basedOn w:val="Fontepargpadro"/>
    <w:uiPriority w:val="1"/>
    <w:qFormat/>
    <w:rsid w:val="000233B5"/>
    <w:rPr>
      <w:rFonts w:ascii="Cambria" w:hAnsi="Cambria"/>
      <w:b/>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66149">
      <w:bodyDiv w:val="1"/>
      <w:marLeft w:val="0"/>
      <w:marRight w:val="0"/>
      <w:marTop w:val="0"/>
      <w:marBottom w:val="0"/>
      <w:divBdr>
        <w:top w:val="none" w:sz="0" w:space="0" w:color="auto"/>
        <w:left w:val="none" w:sz="0" w:space="0" w:color="auto"/>
        <w:bottom w:val="none" w:sz="0" w:space="0" w:color="auto"/>
        <w:right w:val="none" w:sz="0" w:space="0" w:color="auto"/>
      </w:divBdr>
    </w:div>
    <w:div w:id="104231868">
      <w:bodyDiv w:val="1"/>
      <w:marLeft w:val="0"/>
      <w:marRight w:val="0"/>
      <w:marTop w:val="0"/>
      <w:marBottom w:val="0"/>
      <w:divBdr>
        <w:top w:val="none" w:sz="0" w:space="0" w:color="auto"/>
        <w:left w:val="none" w:sz="0" w:space="0" w:color="auto"/>
        <w:bottom w:val="none" w:sz="0" w:space="0" w:color="auto"/>
        <w:right w:val="none" w:sz="0" w:space="0" w:color="auto"/>
      </w:divBdr>
    </w:div>
    <w:div w:id="110979202">
      <w:bodyDiv w:val="1"/>
      <w:marLeft w:val="0"/>
      <w:marRight w:val="0"/>
      <w:marTop w:val="0"/>
      <w:marBottom w:val="0"/>
      <w:divBdr>
        <w:top w:val="none" w:sz="0" w:space="0" w:color="auto"/>
        <w:left w:val="none" w:sz="0" w:space="0" w:color="auto"/>
        <w:bottom w:val="none" w:sz="0" w:space="0" w:color="auto"/>
        <w:right w:val="none" w:sz="0" w:space="0" w:color="auto"/>
      </w:divBdr>
    </w:div>
    <w:div w:id="174467898">
      <w:bodyDiv w:val="1"/>
      <w:marLeft w:val="0"/>
      <w:marRight w:val="0"/>
      <w:marTop w:val="0"/>
      <w:marBottom w:val="0"/>
      <w:divBdr>
        <w:top w:val="none" w:sz="0" w:space="0" w:color="auto"/>
        <w:left w:val="none" w:sz="0" w:space="0" w:color="auto"/>
        <w:bottom w:val="none" w:sz="0" w:space="0" w:color="auto"/>
        <w:right w:val="none" w:sz="0" w:space="0" w:color="auto"/>
      </w:divBdr>
    </w:div>
    <w:div w:id="200898174">
      <w:bodyDiv w:val="1"/>
      <w:marLeft w:val="0"/>
      <w:marRight w:val="0"/>
      <w:marTop w:val="0"/>
      <w:marBottom w:val="0"/>
      <w:divBdr>
        <w:top w:val="none" w:sz="0" w:space="0" w:color="auto"/>
        <w:left w:val="none" w:sz="0" w:space="0" w:color="auto"/>
        <w:bottom w:val="none" w:sz="0" w:space="0" w:color="auto"/>
        <w:right w:val="none" w:sz="0" w:space="0" w:color="auto"/>
      </w:divBdr>
    </w:div>
    <w:div w:id="403188365">
      <w:bodyDiv w:val="1"/>
      <w:marLeft w:val="0"/>
      <w:marRight w:val="0"/>
      <w:marTop w:val="0"/>
      <w:marBottom w:val="0"/>
      <w:divBdr>
        <w:top w:val="none" w:sz="0" w:space="0" w:color="auto"/>
        <w:left w:val="none" w:sz="0" w:space="0" w:color="auto"/>
        <w:bottom w:val="none" w:sz="0" w:space="0" w:color="auto"/>
        <w:right w:val="none" w:sz="0" w:space="0" w:color="auto"/>
      </w:divBdr>
    </w:div>
    <w:div w:id="431978333">
      <w:bodyDiv w:val="1"/>
      <w:marLeft w:val="0"/>
      <w:marRight w:val="0"/>
      <w:marTop w:val="0"/>
      <w:marBottom w:val="0"/>
      <w:divBdr>
        <w:top w:val="none" w:sz="0" w:space="0" w:color="auto"/>
        <w:left w:val="none" w:sz="0" w:space="0" w:color="auto"/>
        <w:bottom w:val="none" w:sz="0" w:space="0" w:color="auto"/>
        <w:right w:val="none" w:sz="0" w:space="0" w:color="auto"/>
      </w:divBdr>
    </w:div>
    <w:div w:id="585576469">
      <w:bodyDiv w:val="1"/>
      <w:marLeft w:val="0"/>
      <w:marRight w:val="0"/>
      <w:marTop w:val="0"/>
      <w:marBottom w:val="0"/>
      <w:divBdr>
        <w:top w:val="none" w:sz="0" w:space="0" w:color="auto"/>
        <w:left w:val="none" w:sz="0" w:space="0" w:color="auto"/>
        <w:bottom w:val="none" w:sz="0" w:space="0" w:color="auto"/>
        <w:right w:val="none" w:sz="0" w:space="0" w:color="auto"/>
      </w:divBdr>
    </w:div>
    <w:div w:id="610086556">
      <w:bodyDiv w:val="1"/>
      <w:marLeft w:val="0"/>
      <w:marRight w:val="0"/>
      <w:marTop w:val="0"/>
      <w:marBottom w:val="0"/>
      <w:divBdr>
        <w:top w:val="none" w:sz="0" w:space="0" w:color="auto"/>
        <w:left w:val="none" w:sz="0" w:space="0" w:color="auto"/>
        <w:bottom w:val="none" w:sz="0" w:space="0" w:color="auto"/>
        <w:right w:val="none" w:sz="0" w:space="0" w:color="auto"/>
      </w:divBdr>
    </w:div>
    <w:div w:id="775559082">
      <w:bodyDiv w:val="1"/>
      <w:marLeft w:val="0"/>
      <w:marRight w:val="0"/>
      <w:marTop w:val="0"/>
      <w:marBottom w:val="0"/>
      <w:divBdr>
        <w:top w:val="none" w:sz="0" w:space="0" w:color="auto"/>
        <w:left w:val="none" w:sz="0" w:space="0" w:color="auto"/>
        <w:bottom w:val="none" w:sz="0" w:space="0" w:color="auto"/>
        <w:right w:val="none" w:sz="0" w:space="0" w:color="auto"/>
      </w:divBdr>
    </w:div>
    <w:div w:id="831604970">
      <w:bodyDiv w:val="1"/>
      <w:marLeft w:val="0"/>
      <w:marRight w:val="0"/>
      <w:marTop w:val="0"/>
      <w:marBottom w:val="0"/>
      <w:divBdr>
        <w:top w:val="none" w:sz="0" w:space="0" w:color="auto"/>
        <w:left w:val="none" w:sz="0" w:space="0" w:color="auto"/>
        <w:bottom w:val="none" w:sz="0" w:space="0" w:color="auto"/>
        <w:right w:val="none" w:sz="0" w:space="0" w:color="auto"/>
      </w:divBdr>
    </w:div>
    <w:div w:id="847912853">
      <w:bodyDiv w:val="1"/>
      <w:marLeft w:val="0"/>
      <w:marRight w:val="0"/>
      <w:marTop w:val="0"/>
      <w:marBottom w:val="0"/>
      <w:divBdr>
        <w:top w:val="none" w:sz="0" w:space="0" w:color="auto"/>
        <w:left w:val="none" w:sz="0" w:space="0" w:color="auto"/>
        <w:bottom w:val="none" w:sz="0" w:space="0" w:color="auto"/>
        <w:right w:val="none" w:sz="0" w:space="0" w:color="auto"/>
      </w:divBdr>
    </w:div>
    <w:div w:id="878858945">
      <w:bodyDiv w:val="1"/>
      <w:marLeft w:val="0"/>
      <w:marRight w:val="0"/>
      <w:marTop w:val="0"/>
      <w:marBottom w:val="0"/>
      <w:divBdr>
        <w:top w:val="none" w:sz="0" w:space="0" w:color="auto"/>
        <w:left w:val="none" w:sz="0" w:space="0" w:color="auto"/>
        <w:bottom w:val="none" w:sz="0" w:space="0" w:color="auto"/>
        <w:right w:val="none" w:sz="0" w:space="0" w:color="auto"/>
      </w:divBdr>
    </w:div>
    <w:div w:id="1000081817">
      <w:bodyDiv w:val="1"/>
      <w:marLeft w:val="0"/>
      <w:marRight w:val="0"/>
      <w:marTop w:val="0"/>
      <w:marBottom w:val="0"/>
      <w:divBdr>
        <w:top w:val="none" w:sz="0" w:space="0" w:color="auto"/>
        <w:left w:val="none" w:sz="0" w:space="0" w:color="auto"/>
        <w:bottom w:val="none" w:sz="0" w:space="0" w:color="auto"/>
        <w:right w:val="none" w:sz="0" w:space="0" w:color="auto"/>
      </w:divBdr>
    </w:div>
    <w:div w:id="1013726556">
      <w:bodyDiv w:val="1"/>
      <w:marLeft w:val="0"/>
      <w:marRight w:val="0"/>
      <w:marTop w:val="0"/>
      <w:marBottom w:val="0"/>
      <w:divBdr>
        <w:top w:val="none" w:sz="0" w:space="0" w:color="auto"/>
        <w:left w:val="none" w:sz="0" w:space="0" w:color="auto"/>
        <w:bottom w:val="none" w:sz="0" w:space="0" w:color="auto"/>
        <w:right w:val="none" w:sz="0" w:space="0" w:color="auto"/>
      </w:divBdr>
    </w:div>
    <w:div w:id="1036463045">
      <w:bodyDiv w:val="1"/>
      <w:marLeft w:val="0"/>
      <w:marRight w:val="0"/>
      <w:marTop w:val="0"/>
      <w:marBottom w:val="0"/>
      <w:divBdr>
        <w:top w:val="none" w:sz="0" w:space="0" w:color="auto"/>
        <w:left w:val="none" w:sz="0" w:space="0" w:color="auto"/>
        <w:bottom w:val="none" w:sz="0" w:space="0" w:color="auto"/>
        <w:right w:val="none" w:sz="0" w:space="0" w:color="auto"/>
      </w:divBdr>
    </w:div>
    <w:div w:id="1069185911">
      <w:bodyDiv w:val="1"/>
      <w:marLeft w:val="0"/>
      <w:marRight w:val="0"/>
      <w:marTop w:val="0"/>
      <w:marBottom w:val="0"/>
      <w:divBdr>
        <w:top w:val="none" w:sz="0" w:space="0" w:color="auto"/>
        <w:left w:val="none" w:sz="0" w:space="0" w:color="auto"/>
        <w:bottom w:val="none" w:sz="0" w:space="0" w:color="auto"/>
        <w:right w:val="none" w:sz="0" w:space="0" w:color="auto"/>
      </w:divBdr>
    </w:div>
    <w:div w:id="1079795004">
      <w:bodyDiv w:val="1"/>
      <w:marLeft w:val="0"/>
      <w:marRight w:val="0"/>
      <w:marTop w:val="0"/>
      <w:marBottom w:val="0"/>
      <w:divBdr>
        <w:top w:val="none" w:sz="0" w:space="0" w:color="auto"/>
        <w:left w:val="none" w:sz="0" w:space="0" w:color="auto"/>
        <w:bottom w:val="none" w:sz="0" w:space="0" w:color="auto"/>
        <w:right w:val="none" w:sz="0" w:space="0" w:color="auto"/>
      </w:divBdr>
    </w:div>
    <w:div w:id="1109859913">
      <w:bodyDiv w:val="1"/>
      <w:marLeft w:val="0"/>
      <w:marRight w:val="0"/>
      <w:marTop w:val="0"/>
      <w:marBottom w:val="0"/>
      <w:divBdr>
        <w:top w:val="none" w:sz="0" w:space="0" w:color="auto"/>
        <w:left w:val="none" w:sz="0" w:space="0" w:color="auto"/>
        <w:bottom w:val="none" w:sz="0" w:space="0" w:color="auto"/>
        <w:right w:val="none" w:sz="0" w:space="0" w:color="auto"/>
      </w:divBdr>
    </w:div>
    <w:div w:id="1118791396">
      <w:bodyDiv w:val="1"/>
      <w:marLeft w:val="0"/>
      <w:marRight w:val="0"/>
      <w:marTop w:val="0"/>
      <w:marBottom w:val="0"/>
      <w:divBdr>
        <w:top w:val="none" w:sz="0" w:space="0" w:color="auto"/>
        <w:left w:val="none" w:sz="0" w:space="0" w:color="auto"/>
        <w:bottom w:val="none" w:sz="0" w:space="0" w:color="auto"/>
        <w:right w:val="none" w:sz="0" w:space="0" w:color="auto"/>
      </w:divBdr>
    </w:div>
    <w:div w:id="1182167498">
      <w:bodyDiv w:val="1"/>
      <w:marLeft w:val="0"/>
      <w:marRight w:val="0"/>
      <w:marTop w:val="0"/>
      <w:marBottom w:val="0"/>
      <w:divBdr>
        <w:top w:val="none" w:sz="0" w:space="0" w:color="auto"/>
        <w:left w:val="none" w:sz="0" w:space="0" w:color="auto"/>
        <w:bottom w:val="none" w:sz="0" w:space="0" w:color="auto"/>
        <w:right w:val="none" w:sz="0" w:space="0" w:color="auto"/>
      </w:divBdr>
    </w:div>
    <w:div w:id="1215968370">
      <w:bodyDiv w:val="1"/>
      <w:marLeft w:val="0"/>
      <w:marRight w:val="0"/>
      <w:marTop w:val="0"/>
      <w:marBottom w:val="0"/>
      <w:divBdr>
        <w:top w:val="none" w:sz="0" w:space="0" w:color="auto"/>
        <w:left w:val="none" w:sz="0" w:space="0" w:color="auto"/>
        <w:bottom w:val="none" w:sz="0" w:space="0" w:color="auto"/>
        <w:right w:val="none" w:sz="0" w:space="0" w:color="auto"/>
      </w:divBdr>
    </w:div>
    <w:div w:id="1333029154">
      <w:bodyDiv w:val="1"/>
      <w:marLeft w:val="0"/>
      <w:marRight w:val="0"/>
      <w:marTop w:val="0"/>
      <w:marBottom w:val="0"/>
      <w:divBdr>
        <w:top w:val="none" w:sz="0" w:space="0" w:color="auto"/>
        <w:left w:val="none" w:sz="0" w:space="0" w:color="auto"/>
        <w:bottom w:val="none" w:sz="0" w:space="0" w:color="auto"/>
        <w:right w:val="none" w:sz="0" w:space="0" w:color="auto"/>
      </w:divBdr>
    </w:div>
    <w:div w:id="1360468742">
      <w:bodyDiv w:val="1"/>
      <w:marLeft w:val="0"/>
      <w:marRight w:val="0"/>
      <w:marTop w:val="0"/>
      <w:marBottom w:val="0"/>
      <w:divBdr>
        <w:top w:val="none" w:sz="0" w:space="0" w:color="auto"/>
        <w:left w:val="none" w:sz="0" w:space="0" w:color="auto"/>
        <w:bottom w:val="none" w:sz="0" w:space="0" w:color="auto"/>
        <w:right w:val="none" w:sz="0" w:space="0" w:color="auto"/>
      </w:divBdr>
    </w:div>
    <w:div w:id="1476528372">
      <w:bodyDiv w:val="1"/>
      <w:marLeft w:val="0"/>
      <w:marRight w:val="0"/>
      <w:marTop w:val="0"/>
      <w:marBottom w:val="0"/>
      <w:divBdr>
        <w:top w:val="none" w:sz="0" w:space="0" w:color="auto"/>
        <w:left w:val="none" w:sz="0" w:space="0" w:color="auto"/>
        <w:bottom w:val="none" w:sz="0" w:space="0" w:color="auto"/>
        <w:right w:val="none" w:sz="0" w:space="0" w:color="auto"/>
      </w:divBdr>
    </w:div>
    <w:div w:id="1532380776">
      <w:bodyDiv w:val="1"/>
      <w:marLeft w:val="0"/>
      <w:marRight w:val="0"/>
      <w:marTop w:val="0"/>
      <w:marBottom w:val="0"/>
      <w:divBdr>
        <w:top w:val="none" w:sz="0" w:space="0" w:color="auto"/>
        <w:left w:val="none" w:sz="0" w:space="0" w:color="auto"/>
        <w:bottom w:val="none" w:sz="0" w:space="0" w:color="auto"/>
        <w:right w:val="none" w:sz="0" w:space="0" w:color="auto"/>
      </w:divBdr>
    </w:div>
    <w:div w:id="1563446216">
      <w:bodyDiv w:val="1"/>
      <w:marLeft w:val="0"/>
      <w:marRight w:val="0"/>
      <w:marTop w:val="0"/>
      <w:marBottom w:val="0"/>
      <w:divBdr>
        <w:top w:val="none" w:sz="0" w:space="0" w:color="auto"/>
        <w:left w:val="none" w:sz="0" w:space="0" w:color="auto"/>
        <w:bottom w:val="none" w:sz="0" w:space="0" w:color="auto"/>
        <w:right w:val="none" w:sz="0" w:space="0" w:color="auto"/>
      </w:divBdr>
    </w:div>
    <w:div w:id="1570925605">
      <w:bodyDiv w:val="1"/>
      <w:marLeft w:val="0"/>
      <w:marRight w:val="0"/>
      <w:marTop w:val="0"/>
      <w:marBottom w:val="0"/>
      <w:divBdr>
        <w:top w:val="none" w:sz="0" w:space="0" w:color="auto"/>
        <w:left w:val="none" w:sz="0" w:space="0" w:color="auto"/>
        <w:bottom w:val="none" w:sz="0" w:space="0" w:color="auto"/>
        <w:right w:val="none" w:sz="0" w:space="0" w:color="auto"/>
      </w:divBdr>
    </w:div>
    <w:div w:id="1607998547">
      <w:bodyDiv w:val="1"/>
      <w:marLeft w:val="0"/>
      <w:marRight w:val="0"/>
      <w:marTop w:val="0"/>
      <w:marBottom w:val="0"/>
      <w:divBdr>
        <w:top w:val="none" w:sz="0" w:space="0" w:color="auto"/>
        <w:left w:val="none" w:sz="0" w:space="0" w:color="auto"/>
        <w:bottom w:val="none" w:sz="0" w:space="0" w:color="auto"/>
        <w:right w:val="none" w:sz="0" w:space="0" w:color="auto"/>
      </w:divBdr>
    </w:div>
    <w:div w:id="1739205024">
      <w:bodyDiv w:val="1"/>
      <w:marLeft w:val="0"/>
      <w:marRight w:val="0"/>
      <w:marTop w:val="0"/>
      <w:marBottom w:val="0"/>
      <w:divBdr>
        <w:top w:val="none" w:sz="0" w:space="0" w:color="auto"/>
        <w:left w:val="none" w:sz="0" w:space="0" w:color="auto"/>
        <w:bottom w:val="none" w:sz="0" w:space="0" w:color="auto"/>
        <w:right w:val="none" w:sz="0" w:space="0" w:color="auto"/>
      </w:divBdr>
    </w:div>
    <w:div w:id="1781534580">
      <w:bodyDiv w:val="1"/>
      <w:marLeft w:val="0"/>
      <w:marRight w:val="0"/>
      <w:marTop w:val="0"/>
      <w:marBottom w:val="0"/>
      <w:divBdr>
        <w:top w:val="none" w:sz="0" w:space="0" w:color="auto"/>
        <w:left w:val="none" w:sz="0" w:space="0" w:color="auto"/>
        <w:bottom w:val="none" w:sz="0" w:space="0" w:color="auto"/>
        <w:right w:val="none" w:sz="0" w:space="0" w:color="auto"/>
      </w:divBdr>
    </w:div>
    <w:div w:id="1840923227">
      <w:bodyDiv w:val="1"/>
      <w:marLeft w:val="0"/>
      <w:marRight w:val="0"/>
      <w:marTop w:val="0"/>
      <w:marBottom w:val="0"/>
      <w:divBdr>
        <w:top w:val="none" w:sz="0" w:space="0" w:color="auto"/>
        <w:left w:val="none" w:sz="0" w:space="0" w:color="auto"/>
        <w:bottom w:val="none" w:sz="0" w:space="0" w:color="auto"/>
        <w:right w:val="none" w:sz="0" w:space="0" w:color="auto"/>
      </w:divBdr>
    </w:div>
    <w:div w:id="2083602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67D4E6-79E7-4B87-9F4D-AA0FF89C18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162</Words>
  <Characters>878</Characters>
  <Application>Microsoft Office Word</Application>
  <DocSecurity>0</DocSecurity>
  <Lines>7</Lines>
  <Paragraphs>2</Paragraphs>
  <ScaleCrop>false</ScaleCrop>
  <HeadingPairs>
    <vt:vector size="4" baseType="variant">
      <vt:variant>
        <vt:lpstr>Título</vt:lpstr>
      </vt:variant>
      <vt:variant>
        <vt:i4>1</vt:i4>
      </vt:variant>
      <vt:variant>
        <vt:lpstr>Títulos</vt:lpstr>
      </vt:variant>
      <vt:variant>
        <vt:i4>4</vt:i4>
      </vt:variant>
    </vt:vector>
  </HeadingPairs>
  <TitlesOfParts>
    <vt:vector size="5" baseType="lpstr">
      <vt:lpstr/>
      <vt:lpstr>Processo nº $DOCUMENTOTRAMITEPROCESSO$</vt:lpstr>
      <vt:lpstr>$DOCUMENTOTRAMITEDOCUMENTO$</vt:lpstr>
      <vt:lpstr>Processo nº $DOCUMENTOTRAMITEPROCESSO$</vt:lpstr>
      <vt:lpstr>$DOCUMENTOTRAMITEDOCUMENTO$</vt:lpstr>
    </vt:vector>
  </TitlesOfParts>
  <Company/>
  <LinksUpToDate>false</LinksUpToDate>
  <CharactersWithSpaces>1038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Valdemar M. Neto Mendonça</cp:lastModifiedBy>
  <cp:revision>7</cp:revision>
  <cp:lastPrinted>2018-06-08T17:01:00Z</cp:lastPrinted>
  <dcterms:created xsi:type="dcterms:W3CDTF">2019-01-29T18:19:00Z</dcterms:created>
  <dcterms:modified xsi:type="dcterms:W3CDTF">2020-02-28T11:55:00Z</dcterms:modified>
</cp:coreProperties>
</file>