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57790" w:rsidRPr="009B64AF" w:rsidRDefault="00E833B3" w:rsidP="00516D5B">
      <w:pPr>
        <w:spacing w:before="120" w:after="120"/>
        <w:jc w:val="both"/>
        <w:rPr>
          <w:rFonts w:asciiTheme="minorHAnsi" w:eastAsia="Arial Unicode MS" w:hAnsiTheme="minorHAnsi" w:cs="Calibri"/>
          <w:sz w:val="24"/>
          <w:szCs w:val="24"/>
        </w:rPr>
      </w:pPr>
      <w:r w:rsidRPr="009B64AF">
        <w:rPr>
          <w:rFonts w:asciiTheme="minorHAnsi" w:eastAsia="Arial Unicode MS" w:hAnsiTheme="minorHAnsi" w:cs="Calibri"/>
          <w:noProof/>
          <w:sz w:val="24"/>
          <w:szCs w:val="24"/>
        </w:rPr>
        <mc:AlternateContent>
          <mc:Choice Requires="wps">
            <w:drawing>
              <wp:anchor distT="0" distB="0" distL="114300" distR="114300" simplePos="0" relativeHeight="251658752" behindDoc="1" locked="0" layoutInCell="0" allowOverlap="1">
                <wp:simplePos x="0" y="0"/>
                <wp:positionH relativeFrom="column">
                  <wp:posOffset>-49530</wp:posOffset>
                </wp:positionH>
                <wp:positionV relativeFrom="paragraph">
                  <wp:posOffset>-7620</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0670" id="Retângulo 16" o:spid="_x0000_s1026" style="position:absolute;margin-left:-3.9pt;margin-top:-.6pt;width:140.1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8avSNN4AAAAIAQAADwAAAGRycy9kb3ducmV2Lnht&#10;bEyPwU7DMBBE70j9B2srcWudRpSgEKdqQeGKKFCpNzdekqjxOordJP17lhM9rUYzmnmbbSbbigF7&#10;3zhSsFpGIJBKZxqqFHx9FosnED5oMrp1hAqu6GGTz+4ynRo30gcO+1AJLiGfagV1CF0qpS9rtNov&#10;XYfE3o/rrQ4s+0qaXo9cblsZR9GjtLohXqh1hy81luf9xSoop2Jnju+vw9a8ufE7KSxeq4NS9/Np&#10;+wwi4BT+w/CHz+iQM9PJXch40SpYJEwe+K5iEOzHSfwA4qRgvU5A5pm8fSD/BQAA//8DAFBLAQIt&#10;ABQABgAIAAAAIQC2gziS/gAAAOEBAAATAAAAAAAAAAAAAAAAAAAAAABbQ29udGVudF9UeXBlc10u&#10;eG1sUEsBAi0AFAAGAAgAAAAhADj9If/WAAAAlAEAAAsAAAAAAAAAAAAAAAAALwEAAF9yZWxzLy5y&#10;ZWxzUEsBAi0AFAAGAAgAAAAhAEYwE7UnAgAAPwQAAA4AAAAAAAAAAAAAAAAALgIAAGRycy9lMm9E&#10;b2MueG1sUEsBAi0AFAAGAAgAAAAhAPGr0jTeAAAACAEAAA8AAAAAAAAAAAAAAAAAgQQAAGRycy9k&#10;b3ducmV2LnhtbFBLBQYAAAAABAAEAPMAAACMBQAAAAA=&#10;" o:allowincell="f" fillcolor="#f2f2f2"/>
            </w:pict>
          </mc:Fallback>
        </mc:AlternateContent>
      </w:r>
      <w:r w:rsidRPr="009B64AF">
        <w:rPr>
          <w:rFonts w:asciiTheme="minorHAnsi" w:hAnsiTheme="minorHAnsi"/>
          <w:noProof/>
          <w:sz w:val="8"/>
        </w:rPr>
        <mc:AlternateContent>
          <mc:Choice Requires="wps">
            <w:drawing>
              <wp:anchor distT="0" distB="0" distL="114300" distR="114300" simplePos="0" relativeHeight="251657728" behindDoc="1" locked="0" layoutInCell="0" allowOverlap="1">
                <wp:simplePos x="0" y="0"/>
                <wp:positionH relativeFrom="margin">
                  <wp:align>left</wp:align>
                </wp:positionH>
                <wp:positionV relativeFrom="paragraph">
                  <wp:posOffset>42545</wp:posOffset>
                </wp:positionV>
                <wp:extent cx="1670050" cy="259080"/>
                <wp:effectExtent l="0" t="0" r="25400" b="2667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5908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F55DF" id="Retângulo 15" o:spid="_x0000_s1026" style="position:absolute;margin-left:0;margin-top:3.35pt;width:131.5pt;height:20.4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aKgIAAD8EAAAOAAAAZHJzL2Uyb0RvYy54bWysU1GO0zAQ/UfiDpb/adKq3W2jpqtVlyKk&#10;BVYsHMB1nMTC8Zix27Qch6twMcZOt3SBL0QiWR7P+HnmvZnlzaEzbK/Qa7AlH49yzpSVUGnblPzz&#10;p82rOWc+CFsJA1aV/Kg8v1m9fLHsXaEm0IKpFDICsb7oXcnbEFyRZV62qhN+BE5ZctaAnQhkYpNV&#10;KHpC70w2yfOrrAesHIJU3tPp3eDkq4Rf10qGD3XtVWCm5JRbSCumdRvXbLUURYPCtVqe0hD/kEUn&#10;tKVHz1B3Igi2Q/0HVKclgoc6jCR0GdS1lirVQNWM89+qeWyFU6kWIse7M03+/8HK9/sHZLoi7Wac&#10;WdGRRh9V+PHdNjsDjA6Jod75ggIf3QPGGr27B/nFMwvrVthG3SJC3ypRUV7jGJ89uxANT1fZtn8H&#10;FeGLXYBE1qHGLgISDeyQNDmeNVGHwCQdjq+u83xG0knyTWaLfJ5Ey0TxdNuhD28UdCxuSo6keUIX&#10;+3sfYjaieApJ2YPR1UYbkwxstmuDbC+oPzaT+KcCqMjLMGNZX/LFbDJLyM98/hIiT9/fIDodqNGN&#10;7ko+PweJItL22lapDYPQZthTysaeeIzUDRJsoToSjQhDF9PU0aYF/MZZTx1ccv91J1BxZt5akmIx&#10;nk5jyydjOruekIGXnu2lR1hJUCUPnA3bdRjGZOdQNy29NE61W7gl+WqdmI3SDlmdkqUuTYSfJiqO&#10;waWdon7N/eonAAAA//8DAFBLAwQUAAYACAAAACEARJPLSNoAAAAFAQAADwAAAGRycy9kb3ducmV2&#10;LnhtbEyPzU6EQBCE7ya+w6RNvLmDq4JBms2qwatx/Um8zTItEJkewswC+/a2Jz1WqlL1VbFZXK8m&#10;GkPnGeFylYAirr3tuEF4e60ubkGFaNia3jMhHCnApjw9KUxu/cwvNO1io6SEQ24Q2hiHXOtQt+RM&#10;WPmBWLwvPzoTRY6NtqOZpdz1ep0kqXamY1lozUAPLdXfu4NDqJfq3n4+P05b++Tn96xydGw+EM/P&#10;lu0dqEhL/AvDL76gQylMe39gG1SPIEciQpqBEnOdXoneI1xnN6DLQv+nL38AAAD//wMAUEsBAi0A&#10;FAAGAAgAAAAhALaDOJL+AAAA4QEAABMAAAAAAAAAAAAAAAAAAAAAAFtDb250ZW50X1R5cGVzXS54&#10;bWxQSwECLQAUAAYACAAAACEAOP0h/9YAAACUAQAACwAAAAAAAAAAAAAAAAAvAQAAX3JlbHMvLnJl&#10;bHNQSwECLQAUAAYACAAAACEAoPQ/2ioCAAA/BAAADgAAAAAAAAAAAAAAAAAuAgAAZHJzL2Uyb0Rv&#10;Yy54bWxQSwECLQAUAAYACAAAACEARJPLSNoAAAAFAQAADwAAAAAAAAAAAAAAAACEBAAAZHJzL2Rv&#10;d25yZXYueG1sUEsFBgAAAAAEAAQA8wAAAIsFAAAAAA==&#10;" o:allowincell="f" fillcolor="#f2f2f2">
                <w10:wrap anchorx="margin"/>
              </v:rect>
            </w:pict>
          </mc:Fallback>
        </mc:AlternateContent>
      </w:r>
      <w:r w:rsidR="00097B6F" w:rsidRPr="009B64AF">
        <w:rPr>
          <w:rFonts w:asciiTheme="minorHAnsi" w:eastAsia="Arial Unicode MS" w:hAnsiTheme="minorHAnsi" w:cs="Calibri"/>
          <w:b/>
          <w:sz w:val="12"/>
          <w:szCs w:val="24"/>
        </w:rPr>
        <w:t xml:space="preserve"> </w:t>
      </w:r>
      <w:r w:rsidR="00141A06" w:rsidRPr="009B64AF">
        <w:rPr>
          <w:rFonts w:asciiTheme="minorHAnsi" w:eastAsia="Arial Unicode MS" w:hAnsiTheme="minorHAnsi" w:cs="Calibri"/>
          <w:b/>
          <w:sz w:val="12"/>
          <w:szCs w:val="24"/>
        </w:rPr>
        <w:t xml:space="preserve"> </w:t>
      </w:r>
      <w:r w:rsidR="00857790" w:rsidRPr="009B64AF">
        <w:rPr>
          <w:rFonts w:asciiTheme="minorHAnsi" w:eastAsia="Arial Unicode MS" w:hAnsiTheme="minorHAnsi" w:cs="Calibri"/>
          <w:b/>
          <w:sz w:val="24"/>
          <w:szCs w:val="24"/>
        </w:rPr>
        <w:t>OFÍCIO/SJC Nº 0</w:t>
      </w:r>
      <w:r w:rsidR="00726461" w:rsidRPr="009B64AF">
        <w:rPr>
          <w:rFonts w:asciiTheme="minorHAnsi" w:eastAsia="Arial Unicode MS" w:hAnsiTheme="minorHAnsi" w:cs="Calibri"/>
          <w:b/>
          <w:sz w:val="24"/>
          <w:szCs w:val="24"/>
        </w:rPr>
        <w:t>0</w:t>
      </w:r>
      <w:r w:rsidR="00F651FE" w:rsidRPr="009B64AF">
        <w:rPr>
          <w:rFonts w:asciiTheme="minorHAnsi" w:eastAsia="Arial Unicode MS" w:hAnsiTheme="minorHAnsi" w:cs="Calibri"/>
          <w:b/>
          <w:sz w:val="24"/>
          <w:szCs w:val="24"/>
        </w:rPr>
        <w:t>6</w:t>
      </w:r>
      <w:r w:rsidR="00E33C3C" w:rsidRPr="009B64AF">
        <w:rPr>
          <w:rFonts w:asciiTheme="minorHAnsi" w:eastAsia="Arial Unicode MS" w:hAnsiTheme="minorHAnsi" w:cs="Calibri"/>
          <w:b/>
          <w:sz w:val="24"/>
          <w:szCs w:val="24"/>
        </w:rPr>
        <w:t>2</w:t>
      </w:r>
      <w:r w:rsidR="002F21B6" w:rsidRPr="009B64AF">
        <w:rPr>
          <w:rFonts w:asciiTheme="minorHAnsi" w:eastAsia="Arial Unicode MS" w:hAnsiTheme="minorHAnsi" w:cs="Calibri"/>
          <w:b/>
          <w:sz w:val="24"/>
          <w:szCs w:val="24"/>
        </w:rPr>
        <w:t>/2020</w:t>
      </w:r>
      <w:r w:rsidR="00857790" w:rsidRPr="009B64AF">
        <w:rPr>
          <w:rFonts w:asciiTheme="minorHAnsi" w:eastAsia="Arial Unicode MS" w:hAnsiTheme="minorHAnsi" w:cs="Calibri"/>
          <w:sz w:val="24"/>
          <w:szCs w:val="24"/>
        </w:rPr>
        <w:t xml:space="preserve">  </w:t>
      </w:r>
      <w:r w:rsidR="00726461" w:rsidRPr="009B64AF">
        <w:rPr>
          <w:rFonts w:asciiTheme="minorHAnsi" w:eastAsia="Arial Unicode MS" w:hAnsiTheme="minorHAnsi" w:cs="Calibri"/>
          <w:sz w:val="24"/>
          <w:szCs w:val="24"/>
        </w:rPr>
        <w:t xml:space="preserve">                                           </w:t>
      </w:r>
      <w:r w:rsidR="003265B0" w:rsidRPr="009B64AF">
        <w:rPr>
          <w:rFonts w:asciiTheme="minorHAnsi" w:eastAsia="Arial Unicode MS" w:hAnsiTheme="minorHAnsi" w:cs="Calibri"/>
          <w:sz w:val="24"/>
          <w:szCs w:val="24"/>
        </w:rPr>
        <w:t xml:space="preserve">             </w:t>
      </w:r>
      <w:r w:rsidR="00516D5B" w:rsidRPr="009B64AF">
        <w:rPr>
          <w:rFonts w:asciiTheme="minorHAnsi" w:eastAsia="Arial Unicode MS" w:hAnsiTheme="minorHAnsi" w:cs="Calibri"/>
          <w:sz w:val="24"/>
          <w:szCs w:val="24"/>
        </w:rPr>
        <w:t xml:space="preserve">  </w:t>
      </w:r>
      <w:r w:rsidR="003265B0" w:rsidRPr="009B64AF">
        <w:rPr>
          <w:rFonts w:asciiTheme="minorHAnsi" w:eastAsia="Arial Unicode MS" w:hAnsiTheme="minorHAnsi" w:cs="Calibri"/>
          <w:sz w:val="24"/>
          <w:szCs w:val="24"/>
        </w:rPr>
        <w:t xml:space="preserve">     </w:t>
      </w:r>
      <w:r w:rsidR="00097B6F" w:rsidRPr="009B64AF">
        <w:rPr>
          <w:rFonts w:asciiTheme="minorHAnsi" w:eastAsia="Arial Unicode MS" w:hAnsiTheme="minorHAnsi" w:cs="Calibri"/>
          <w:sz w:val="24"/>
          <w:szCs w:val="24"/>
        </w:rPr>
        <w:t xml:space="preserve">   </w:t>
      </w:r>
      <w:r w:rsidR="003265B0" w:rsidRPr="009B64AF">
        <w:rPr>
          <w:rFonts w:asciiTheme="minorHAnsi" w:eastAsia="Arial Unicode MS" w:hAnsiTheme="minorHAnsi" w:cs="Calibri"/>
          <w:sz w:val="24"/>
          <w:szCs w:val="24"/>
        </w:rPr>
        <w:t xml:space="preserve"> </w:t>
      </w:r>
      <w:r w:rsidR="00857790" w:rsidRPr="009B64AF">
        <w:rPr>
          <w:rFonts w:asciiTheme="minorHAnsi" w:eastAsia="Arial Unicode MS" w:hAnsiTheme="minorHAnsi" w:cs="Calibri"/>
          <w:sz w:val="24"/>
          <w:szCs w:val="24"/>
        </w:rPr>
        <w:t xml:space="preserve">Em </w:t>
      </w:r>
      <w:r w:rsidR="004143C2" w:rsidRPr="009B64AF">
        <w:rPr>
          <w:rFonts w:asciiTheme="minorHAnsi" w:hAnsiTheme="minorHAnsi"/>
          <w:sz w:val="24"/>
          <w:szCs w:val="24"/>
        </w:rPr>
        <w:t>1</w:t>
      </w:r>
      <w:r w:rsidR="00E33C3C" w:rsidRPr="009B64AF">
        <w:rPr>
          <w:rFonts w:asciiTheme="minorHAnsi" w:hAnsiTheme="minorHAnsi"/>
          <w:sz w:val="24"/>
          <w:szCs w:val="24"/>
        </w:rPr>
        <w:t>8</w:t>
      </w:r>
      <w:r w:rsidR="004143C2" w:rsidRPr="009B64AF">
        <w:rPr>
          <w:rFonts w:asciiTheme="minorHAnsi" w:hAnsiTheme="minorHAnsi"/>
          <w:sz w:val="24"/>
          <w:szCs w:val="24"/>
        </w:rPr>
        <w:t xml:space="preserve"> de fever</w:t>
      </w:r>
      <w:r w:rsidR="00516D5B" w:rsidRPr="009B64AF">
        <w:rPr>
          <w:rFonts w:asciiTheme="minorHAnsi" w:hAnsiTheme="minorHAnsi"/>
          <w:sz w:val="24"/>
          <w:szCs w:val="24"/>
        </w:rPr>
        <w:t>eiro de 2020</w:t>
      </w:r>
    </w:p>
    <w:p w:rsidR="00857790" w:rsidRPr="009B64AF" w:rsidRDefault="00857790" w:rsidP="000B185D">
      <w:pPr>
        <w:spacing w:before="120" w:after="120"/>
        <w:jc w:val="both"/>
        <w:rPr>
          <w:rFonts w:asciiTheme="minorHAnsi" w:hAnsiTheme="minorHAnsi" w:cs="Calibri"/>
          <w:sz w:val="24"/>
          <w:szCs w:val="24"/>
        </w:rPr>
      </w:pPr>
    </w:p>
    <w:p w:rsidR="00516D5B" w:rsidRPr="009B64AF" w:rsidRDefault="00516D5B" w:rsidP="000B185D">
      <w:pPr>
        <w:spacing w:before="120" w:after="120"/>
        <w:jc w:val="both"/>
        <w:rPr>
          <w:rFonts w:asciiTheme="minorHAnsi" w:hAnsiTheme="minorHAnsi" w:cs="Calibri"/>
          <w:sz w:val="24"/>
          <w:szCs w:val="24"/>
        </w:rPr>
      </w:pPr>
    </w:p>
    <w:p w:rsidR="00857790" w:rsidRPr="009B64AF" w:rsidRDefault="00857790" w:rsidP="00857790">
      <w:pPr>
        <w:jc w:val="both"/>
        <w:rPr>
          <w:rFonts w:asciiTheme="minorHAnsi" w:hAnsiTheme="minorHAnsi" w:cs="Calibri"/>
          <w:sz w:val="24"/>
          <w:szCs w:val="24"/>
        </w:rPr>
      </w:pPr>
      <w:r w:rsidRPr="009B64AF">
        <w:rPr>
          <w:rFonts w:asciiTheme="minorHAnsi" w:hAnsiTheme="minorHAnsi" w:cs="Calibri"/>
          <w:sz w:val="24"/>
          <w:szCs w:val="24"/>
        </w:rPr>
        <w:t>Ao</w:t>
      </w:r>
    </w:p>
    <w:p w:rsidR="00857790" w:rsidRPr="009B64AF" w:rsidRDefault="00857790" w:rsidP="00857790">
      <w:pPr>
        <w:jc w:val="both"/>
        <w:rPr>
          <w:rFonts w:asciiTheme="minorHAnsi" w:hAnsiTheme="minorHAnsi" w:cs="Calibri"/>
          <w:sz w:val="24"/>
          <w:szCs w:val="24"/>
        </w:rPr>
      </w:pPr>
      <w:r w:rsidRPr="009B64AF">
        <w:rPr>
          <w:rFonts w:asciiTheme="minorHAnsi" w:hAnsiTheme="minorHAnsi" w:cs="Calibri"/>
          <w:sz w:val="24"/>
          <w:szCs w:val="24"/>
        </w:rPr>
        <w:t>Excelentíssimo Senhor</w:t>
      </w:r>
    </w:p>
    <w:p w:rsidR="00857790" w:rsidRPr="009B64AF" w:rsidRDefault="00857790" w:rsidP="00857790">
      <w:pPr>
        <w:jc w:val="both"/>
        <w:rPr>
          <w:rFonts w:asciiTheme="minorHAnsi" w:hAnsiTheme="minorHAnsi" w:cs="Calibri"/>
          <w:b/>
          <w:sz w:val="24"/>
          <w:szCs w:val="24"/>
        </w:rPr>
      </w:pPr>
      <w:r w:rsidRPr="009B64AF">
        <w:rPr>
          <w:rFonts w:asciiTheme="minorHAnsi" w:hAnsiTheme="minorHAnsi" w:cs="Calibri"/>
          <w:b/>
          <w:sz w:val="24"/>
          <w:szCs w:val="24"/>
        </w:rPr>
        <w:t>TENENTE SANTANA</w:t>
      </w:r>
    </w:p>
    <w:p w:rsidR="00857790" w:rsidRPr="009B64AF" w:rsidRDefault="00823554" w:rsidP="00857790">
      <w:pPr>
        <w:jc w:val="both"/>
        <w:rPr>
          <w:rFonts w:asciiTheme="minorHAnsi" w:hAnsiTheme="minorHAnsi" w:cs="Calibri"/>
          <w:sz w:val="24"/>
          <w:szCs w:val="24"/>
        </w:rPr>
      </w:pPr>
      <w:r w:rsidRPr="009B64AF">
        <w:rPr>
          <w:rFonts w:asciiTheme="minorHAnsi" w:hAnsiTheme="minorHAnsi" w:cs="Calibri"/>
          <w:sz w:val="24"/>
          <w:szCs w:val="24"/>
        </w:rPr>
        <w:t xml:space="preserve">Vereador e </w:t>
      </w:r>
      <w:r w:rsidR="00857790" w:rsidRPr="009B64AF">
        <w:rPr>
          <w:rFonts w:asciiTheme="minorHAnsi" w:hAnsiTheme="minorHAnsi" w:cs="Calibri"/>
          <w:sz w:val="24"/>
          <w:szCs w:val="24"/>
        </w:rPr>
        <w:t>Presidente da Câmara Municipal</w:t>
      </w:r>
      <w:r w:rsidRPr="009B64AF">
        <w:rPr>
          <w:rFonts w:asciiTheme="minorHAnsi" w:hAnsiTheme="minorHAnsi" w:cs="Calibri"/>
          <w:sz w:val="24"/>
          <w:szCs w:val="24"/>
        </w:rPr>
        <w:t xml:space="preserve"> de Araraquara</w:t>
      </w:r>
    </w:p>
    <w:p w:rsidR="00857790" w:rsidRPr="009B64AF" w:rsidRDefault="00857790" w:rsidP="00857790">
      <w:pPr>
        <w:jc w:val="both"/>
        <w:rPr>
          <w:rFonts w:asciiTheme="minorHAnsi" w:hAnsiTheme="minorHAnsi" w:cs="Calibri"/>
          <w:sz w:val="24"/>
          <w:szCs w:val="24"/>
        </w:rPr>
      </w:pPr>
      <w:r w:rsidRPr="009B64AF">
        <w:rPr>
          <w:rFonts w:asciiTheme="minorHAnsi" w:hAnsiTheme="minorHAnsi" w:cs="Calibri"/>
          <w:sz w:val="24"/>
          <w:szCs w:val="24"/>
        </w:rPr>
        <w:t>Rua São Bento, 887 – Centro</w:t>
      </w:r>
    </w:p>
    <w:p w:rsidR="00857790" w:rsidRPr="009B64AF" w:rsidRDefault="00857790" w:rsidP="00857790">
      <w:pPr>
        <w:jc w:val="both"/>
        <w:rPr>
          <w:rFonts w:asciiTheme="minorHAnsi" w:hAnsiTheme="minorHAnsi" w:cs="Calibri"/>
          <w:sz w:val="24"/>
          <w:szCs w:val="24"/>
        </w:rPr>
      </w:pPr>
      <w:r w:rsidRPr="009B64AF">
        <w:rPr>
          <w:rFonts w:asciiTheme="minorHAnsi" w:hAnsiTheme="minorHAnsi" w:cs="Calibri"/>
          <w:b/>
          <w:sz w:val="24"/>
          <w:szCs w:val="24"/>
          <w:u w:val="single"/>
        </w:rPr>
        <w:t>14801-300 - ARARAQUARA/SP</w:t>
      </w:r>
    </w:p>
    <w:p w:rsidR="00D469C5" w:rsidRPr="009B64AF" w:rsidRDefault="00D469C5" w:rsidP="00857790">
      <w:pPr>
        <w:spacing w:before="120" w:after="120" w:line="360" w:lineRule="auto"/>
        <w:contextualSpacing/>
        <w:jc w:val="both"/>
        <w:rPr>
          <w:rFonts w:asciiTheme="minorHAnsi" w:hAnsiTheme="minorHAnsi" w:cs="Calibri"/>
          <w:sz w:val="14"/>
          <w:szCs w:val="14"/>
        </w:rPr>
      </w:pPr>
    </w:p>
    <w:p w:rsidR="00F2472A" w:rsidRPr="009B64AF" w:rsidRDefault="00F2472A" w:rsidP="00823554">
      <w:pPr>
        <w:spacing w:before="120" w:after="120"/>
        <w:ind w:firstLine="709"/>
        <w:jc w:val="both"/>
        <w:rPr>
          <w:rFonts w:asciiTheme="minorHAnsi" w:hAnsiTheme="minorHAnsi" w:cs="Calibri"/>
          <w:sz w:val="24"/>
          <w:szCs w:val="24"/>
        </w:rPr>
      </w:pPr>
    </w:p>
    <w:p w:rsidR="00857790" w:rsidRPr="009B64AF" w:rsidRDefault="00857790" w:rsidP="00823554">
      <w:pPr>
        <w:spacing w:before="120" w:after="120"/>
        <w:ind w:firstLine="709"/>
        <w:jc w:val="both"/>
        <w:rPr>
          <w:rFonts w:asciiTheme="minorHAnsi" w:hAnsiTheme="minorHAnsi" w:cs="Calibri"/>
          <w:sz w:val="24"/>
          <w:szCs w:val="24"/>
        </w:rPr>
      </w:pPr>
      <w:r w:rsidRPr="009B64AF">
        <w:rPr>
          <w:rFonts w:asciiTheme="minorHAnsi" w:hAnsiTheme="minorHAnsi" w:cs="Calibri"/>
          <w:sz w:val="24"/>
          <w:szCs w:val="24"/>
        </w:rPr>
        <w:t>S</w:t>
      </w:r>
      <w:r w:rsidR="00823554" w:rsidRPr="009B64AF">
        <w:rPr>
          <w:rFonts w:asciiTheme="minorHAnsi" w:hAnsiTheme="minorHAnsi" w:cs="Calibri"/>
          <w:sz w:val="24"/>
          <w:szCs w:val="24"/>
        </w:rPr>
        <w:t>enhor Presidente,</w:t>
      </w:r>
    </w:p>
    <w:p w:rsidR="00712CE1" w:rsidRPr="009B64AF" w:rsidRDefault="00712CE1" w:rsidP="00712CE1">
      <w:pPr>
        <w:spacing w:before="120" w:after="120"/>
        <w:ind w:firstLine="709"/>
        <w:jc w:val="both"/>
        <w:rPr>
          <w:rFonts w:asciiTheme="minorHAnsi" w:hAnsiTheme="minorHAnsi" w:cs="Calibri"/>
          <w:color w:val="000000"/>
          <w:sz w:val="24"/>
          <w:szCs w:val="24"/>
        </w:rPr>
      </w:pPr>
      <w:r w:rsidRPr="009B64AF">
        <w:rPr>
          <w:rFonts w:asciiTheme="minorHAnsi" w:hAnsiTheme="minorHAnsi" w:cs="Calibri"/>
          <w:color w:val="000000"/>
          <w:sz w:val="24"/>
          <w:szCs w:val="24"/>
        </w:rPr>
        <w:t>Nos termos da Lei Orgânica do Município de Araraquara, encaminhamos a Vossa Excelência, a fim de ser apreciado pelo nobre Poder Legislativo</w:t>
      </w:r>
      <w:r w:rsidR="00C61536" w:rsidRPr="009B64AF">
        <w:rPr>
          <w:rFonts w:asciiTheme="minorHAnsi" w:hAnsiTheme="minorHAnsi" w:cs="Calibri"/>
          <w:color w:val="000000"/>
          <w:sz w:val="24"/>
          <w:szCs w:val="24"/>
        </w:rPr>
        <w:t xml:space="preserve">, o incluso </w:t>
      </w:r>
      <w:r w:rsidR="00E33C3C" w:rsidRPr="009B64AF">
        <w:rPr>
          <w:rFonts w:asciiTheme="minorHAnsi" w:hAnsiTheme="minorHAnsi" w:cs="Calibri"/>
          <w:color w:val="000000"/>
          <w:sz w:val="24"/>
          <w:szCs w:val="24"/>
        </w:rPr>
        <w:t xml:space="preserve">Substitutivo ao </w:t>
      </w:r>
      <w:r w:rsidR="00C61536" w:rsidRPr="009B64AF">
        <w:rPr>
          <w:rFonts w:asciiTheme="minorHAnsi" w:hAnsiTheme="minorHAnsi" w:cs="Calibri"/>
          <w:color w:val="000000"/>
          <w:sz w:val="24"/>
          <w:szCs w:val="24"/>
        </w:rPr>
        <w:t xml:space="preserve">Projeto de Lei </w:t>
      </w:r>
      <w:r w:rsidR="00E33C3C" w:rsidRPr="009B64AF">
        <w:rPr>
          <w:rFonts w:asciiTheme="minorHAnsi" w:hAnsiTheme="minorHAnsi" w:cs="Calibri"/>
          <w:color w:val="000000"/>
          <w:sz w:val="24"/>
          <w:szCs w:val="24"/>
        </w:rPr>
        <w:t xml:space="preserve">nº 073/2020, </w:t>
      </w:r>
      <w:r w:rsidR="00C61536" w:rsidRPr="009B64AF">
        <w:rPr>
          <w:rFonts w:asciiTheme="minorHAnsi" w:hAnsiTheme="minorHAnsi" w:cs="Calibri"/>
          <w:color w:val="000000"/>
          <w:sz w:val="24"/>
          <w:szCs w:val="24"/>
        </w:rPr>
        <w:t>que a</w:t>
      </w:r>
      <w:r w:rsidRPr="009B64AF">
        <w:rPr>
          <w:rFonts w:asciiTheme="minorHAnsi" w:hAnsiTheme="minorHAnsi" w:cs="Calibri"/>
          <w:color w:val="000000"/>
          <w:sz w:val="24"/>
          <w:szCs w:val="24"/>
        </w:rPr>
        <w:t xml:space="preserve">utoriza </w:t>
      </w:r>
      <w:r w:rsidR="00E33C3C" w:rsidRPr="009B64AF">
        <w:rPr>
          <w:rFonts w:asciiTheme="minorHAnsi" w:hAnsiTheme="minorHAnsi" w:cs="Calibri"/>
          <w:color w:val="000000"/>
          <w:sz w:val="24"/>
          <w:szCs w:val="24"/>
        </w:rPr>
        <w:t>o Poder Executivo a contratar operações de crédito com a Caixa Econômica Federal, até o limite de valor que especifica, para modernização, expansão e melhoria de eficiência da rede de iluminação pública do Município, e dá outras providências.</w:t>
      </w:r>
    </w:p>
    <w:p w:rsidR="00E33C3C" w:rsidRPr="009B64AF" w:rsidRDefault="00E33C3C" w:rsidP="00E33C3C">
      <w:pPr>
        <w:spacing w:before="120" w:after="120"/>
        <w:ind w:firstLine="709"/>
        <w:jc w:val="both"/>
        <w:rPr>
          <w:rFonts w:asciiTheme="minorHAnsi" w:hAnsiTheme="minorHAnsi"/>
          <w:sz w:val="24"/>
          <w:szCs w:val="24"/>
        </w:rPr>
      </w:pPr>
      <w:r w:rsidRPr="009B64AF">
        <w:rPr>
          <w:rFonts w:asciiTheme="minorHAnsi" w:hAnsiTheme="minorHAnsi" w:cs="Calibri"/>
          <w:color w:val="000000"/>
          <w:sz w:val="24"/>
          <w:szCs w:val="24"/>
        </w:rPr>
        <w:t xml:space="preserve">O presente Substitutivo justifica-se em razão de orientação prestada pela </w:t>
      </w:r>
      <w:r w:rsidRPr="009B64AF">
        <w:rPr>
          <w:rFonts w:asciiTheme="minorHAnsi" w:hAnsiTheme="minorHAnsi" w:cs="Arial"/>
          <w:color w:val="000000"/>
          <w:sz w:val="24"/>
          <w:szCs w:val="24"/>
        </w:rPr>
        <w:t>Caixa Econômica Federal: no ponto, propõe-se seja o Poder Executivo autorizado a contratar operações de crédito até o valor de R$ 53.299.372,03 (cinquenta e três milhões, duzentos e noventa e nove mil, trezentos e setenta e dois reais e três centavos)</w:t>
      </w:r>
      <w:r w:rsidRPr="009B64AF">
        <w:rPr>
          <w:rFonts w:asciiTheme="minorHAnsi" w:hAnsiTheme="minorHAnsi"/>
          <w:sz w:val="24"/>
          <w:szCs w:val="24"/>
        </w:rPr>
        <w:t xml:space="preserve"> – por meio desta modificação, seria possível que o Município pleiteasse a concessão do valor total do crédito em múltiplas linhas de crédito disponibilizadas pela Caixa Econômica Federal.</w:t>
      </w:r>
    </w:p>
    <w:p w:rsidR="00E33C3C" w:rsidRPr="009B64AF" w:rsidRDefault="00E33C3C" w:rsidP="00E33C3C">
      <w:pPr>
        <w:spacing w:before="120" w:after="120"/>
        <w:ind w:firstLine="709"/>
        <w:jc w:val="both"/>
        <w:rPr>
          <w:rFonts w:asciiTheme="minorHAnsi" w:hAnsiTheme="minorHAnsi"/>
          <w:sz w:val="24"/>
          <w:szCs w:val="24"/>
        </w:rPr>
      </w:pPr>
      <w:r w:rsidRPr="009B64AF">
        <w:rPr>
          <w:rFonts w:asciiTheme="minorHAnsi" w:hAnsiTheme="minorHAnsi"/>
          <w:sz w:val="24"/>
          <w:szCs w:val="24"/>
        </w:rPr>
        <w:t>Ressalta-se que a presente alteração não afetará, em perspectiva global, as condições para a contratação da operação crédito constantes da propositura originalmente apresentada, tampouco importará na modificação da destinação dos recursos eventualmente auferidos.</w:t>
      </w:r>
    </w:p>
    <w:p w:rsidR="00E33C3C" w:rsidRPr="009B64AF" w:rsidRDefault="009B64AF" w:rsidP="00E33C3C">
      <w:pPr>
        <w:spacing w:before="120" w:after="120"/>
        <w:ind w:firstLine="709"/>
        <w:jc w:val="both"/>
        <w:rPr>
          <w:rFonts w:asciiTheme="minorHAnsi" w:hAnsiTheme="minorHAnsi"/>
          <w:sz w:val="24"/>
          <w:szCs w:val="24"/>
        </w:rPr>
      </w:pPr>
      <w:r w:rsidRPr="009B64AF">
        <w:rPr>
          <w:rFonts w:asciiTheme="minorHAnsi" w:hAnsiTheme="minorHAnsi"/>
          <w:sz w:val="24"/>
          <w:szCs w:val="24"/>
        </w:rPr>
        <w:t xml:space="preserve">Outrossim, aproveitamos a oportunidade deste Substitutivo para apresentarmos esclarecimentos adicionais à presente propositura, em conformidade com encaminhamento resultante de reunião realizada nesta Casa de Leis em 17 de fevereiro de 2020, à qual estiveram presentes representantes deste Poder Executivo. </w:t>
      </w:r>
    </w:p>
    <w:p w:rsidR="009B64AF" w:rsidRPr="009B64AF" w:rsidRDefault="009B64AF" w:rsidP="009B64AF">
      <w:pPr>
        <w:jc w:val="both"/>
        <w:rPr>
          <w:rFonts w:asciiTheme="minorHAnsi" w:hAnsiTheme="minorHAnsi"/>
          <w:b/>
          <w:sz w:val="24"/>
          <w:szCs w:val="24"/>
        </w:rPr>
      </w:pPr>
      <w:r w:rsidRPr="009B64AF">
        <w:rPr>
          <w:rFonts w:asciiTheme="minorHAnsi" w:hAnsiTheme="minorHAnsi"/>
          <w:b/>
          <w:sz w:val="24"/>
          <w:szCs w:val="24"/>
        </w:rPr>
        <w:t>Comparativo de luminárias</w:t>
      </w:r>
    </w:p>
    <w:p w:rsidR="009B64AF" w:rsidRPr="009B64AF" w:rsidRDefault="009B64AF" w:rsidP="009B64AF">
      <w:pPr>
        <w:jc w:val="both"/>
        <w:rPr>
          <w:rFonts w:asciiTheme="minorHAnsi" w:hAnsiTheme="minorHAnsi"/>
          <w:sz w:val="24"/>
          <w:szCs w:val="24"/>
        </w:rPr>
      </w:pP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As luminárias de Vapor de Sódio, existentes em nosso município, possuem eficiência média de 90 lúmens/watt, nas seguintes potencias:</w:t>
      </w:r>
    </w:p>
    <w:p w:rsidR="009B64AF" w:rsidRPr="009B64AF" w:rsidRDefault="009B64AF" w:rsidP="009B64AF">
      <w:pPr>
        <w:pStyle w:val="PargrafodaLista"/>
        <w:numPr>
          <w:ilvl w:val="0"/>
          <w:numId w:val="4"/>
        </w:numPr>
        <w:spacing w:after="200" w:line="276" w:lineRule="auto"/>
        <w:jc w:val="both"/>
        <w:rPr>
          <w:rFonts w:asciiTheme="minorHAnsi" w:hAnsiTheme="minorHAnsi"/>
          <w:sz w:val="24"/>
          <w:szCs w:val="24"/>
        </w:rPr>
      </w:pPr>
      <w:r w:rsidRPr="009B64AF">
        <w:rPr>
          <w:rFonts w:asciiTheme="minorHAnsi" w:hAnsiTheme="minorHAnsi"/>
          <w:sz w:val="24"/>
          <w:szCs w:val="24"/>
        </w:rPr>
        <w:t>250W – gera em torno de 22500 lúmens;</w:t>
      </w:r>
    </w:p>
    <w:p w:rsidR="009B64AF" w:rsidRPr="009B64AF" w:rsidRDefault="009B64AF" w:rsidP="009B64AF">
      <w:pPr>
        <w:pStyle w:val="PargrafodaLista"/>
        <w:numPr>
          <w:ilvl w:val="0"/>
          <w:numId w:val="4"/>
        </w:numPr>
        <w:spacing w:after="200" w:line="276" w:lineRule="auto"/>
        <w:jc w:val="both"/>
        <w:rPr>
          <w:rFonts w:asciiTheme="minorHAnsi" w:hAnsiTheme="minorHAnsi"/>
          <w:sz w:val="24"/>
          <w:szCs w:val="24"/>
        </w:rPr>
      </w:pPr>
      <w:r w:rsidRPr="009B64AF">
        <w:rPr>
          <w:rFonts w:asciiTheme="minorHAnsi" w:hAnsiTheme="minorHAnsi"/>
          <w:sz w:val="24"/>
          <w:szCs w:val="24"/>
        </w:rPr>
        <w:t>150W – gera em torno de 13500 lúmens;</w:t>
      </w:r>
    </w:p>
    <w:p w:rsidR="009B64AF" w:rsidRPr="009B64AF" w:rsidRDefault="009B64AF" w:rsidP="009B64AF">
      <w:pPr>
        <w:pStyle w:val="PargrafodaLista"/>
        <w:numPr>
          <w:ilvl w:val="0"/>
          <w:numId w:val="4"/>
        </w:numPr>
        <w:spacing w:after="200" w:line="276" w:lineRule="auto"/>
        <w:jc w:val="both"/>
        <w:rPr>
          <w:rFonts w:asciiTheme="minorHAnsi" w:hAnsiTheme="minorHAnsi"/>
          <w:sz w:val="24"/>
          <w:szCs w:val="24"/>
        </w:rPr>
      </w:pPr>
      <w:r w:rsidRPr="009B64AF">
        <w:rPr>
          <w:rFonts w:asciiTheme="minorHAnsi" w:hAnsiTheme="minorHAnsi"/>
          <w:sz w:val="24"/>
          <w:szCs w:val="24"/>
        </w:rPr>
        <w:t>100W – gera em torno de 9000 lúmens.</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lastRenderedPageBreak/>
        <w:t>A intenção do pretenso financiamento é substituí-las por luminárias de LED de menor potência e maior eficiência de luminescência, pois luminárias dessa tecnologia geram mais lúmens a cada Watt consumido em torno de 150 lúmens / Watt, a saber:</w:t>
      </w:r>
    </w:p>
    <w:p w:rsidR="009B64AF" w:rsidRPr="009B64AF" w:rsidRDefault="009B64AF" w:rsidP="009B64AF">
      <w:pPr>
        <w:pStyle w:val="PargrafodaLista"/>
        <w:numPr>
          <w:ilvl w:val="0"/>
          <w:numId w:val="5"/>
        </w:numPr>
        <w:spacing w:after="200" w:line="276" w:lineRule="auto"/>
        <w:jc w:val="both"/>
        <w:rPr>
          <w:rFonts w:asciiTheme="minorHAnsi" w:hAnsiTheme="minorHAnsi"/>
          <w:sz w:val="24"/>
          <w:szCs w:val="24"/>
        </w:rPr>
      </w:pPr>
      <w:r w:rsidRPr="009B64AF">
        <w:rPr>
          <w:rFonts w:asciiTheme="minorHAnsi" w:hAnsiTheme="minorHAnsi"/>
          <w:sz w:val="24"/>
          <w:szCs w:val="24"/>
        </w:rPr>
        <w:t>150 W – gera em torno de 22500 lúmens – substitui a de 250W com 40% de economia;</w:t>
      </w:r>
    </w:p>
    <w:p w:rsidR="009B64AF" w:rsidRPr="009B64AF" w:rsidRDefault="009B64AF" w:rsidP="009B64AF">
      <w:pPr>
        <w:pStyle w:val="PargrafodaLista"/>
        <w:numPr>
          <w:ilvl w:val="0"/>
          <w:numId w:val="5"/>
        </w:numPr>
        <w:spacing w:after="200" w:line="276" w:lineRule="auto"/>
        <w:jc w:val="both"/>
        <w:rPr>
          <w:rFonts w:asciiTheme="minorHAnsi" w:hAnsiTheme="minorHAnsi"/>
          <w:sz w:val="24"/>
          <w:szCs w:val="24"/>
        </w:rPr>
      </w:pPr>
      <w:r w:rsidRPr="009B64AF">
        <w:rPr>
          <w:rFonts w:asciiTheme="minorHAnsi" w:hAnsiTheme="minorHAnsi"/>
          <w:sz w:val="24"/>
          <w:szCs w:val="24"/>
        </w:rPr>
        <w:t>100 W – gera em torno de 15000 lúmens – substitui a de 150W com 33% de economia;</w:t>
      </w:r>
    </w:p>
    <w:p w:rsidR="009B64AF" w:rsidRPr="009B64AF" w:rsidRDefault="009B64AF" w:rsidP="009B64AF">
      <w:pPr>
        <w:pStyle w:val="PargrafodaLista"/>
        <w:numPr>
          <w:ilvl w:val="0"/>
          <w:numId w:val="5"/>
        </w:numPr>
        <w:spacing w:after="200" w:line="276" w:lineRule="auto"/>
        <w:jc w:val="both"/>
        <w:rPr>
          <w:rFonts w:asciiTheme="minorHAnsi" w:hAnsiTheme="minorHAnsi"/>
          <w:sz w:val="24"/>
          <w:szCs w:val="24"/>
        </w:rPr>
      </w:pPr>
      <w:r w:rsidRPr="009B64AF">
        <w:rPr>
          <w:rFonts w:asciiTheme="minorHAnsi" w:hAnsiTheme="minorHAnsi"/>
          <w:sz w:val="24"/>
          <w:szCs w:val="24"/>
        </w:rPr>
        <w:t>80 W – gera em torno de 12000 lúmens – substitui a de 100W com 20% de economia.</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Verifica-se no acima exposto uma média de economia em cerca de 30%.</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 xml:space="preserve">Nesta senda, as vias que hoje são iluminadas por lâmpadas respectivamente de 150W e 100W – vias de menor movimento, em interior de bairros – passarão a ter uma maior </w:t>
      </w:r>
      <w:r>
        <w:rPr>
          <w:rFonts w:asciiTheme="minorHAnsi" w:hAnsiTheme="minorHAnsi"/>
          <w:sz w:val="24"/>
          <w:szCs w:val="24"/>
        </w:rPr>
        <w:t>luminosidade</w:t>
      </w:r>
      <w:r w:rsidRPr="009B64AF">
        <w:rPr>
          <w:rFonts w:asciiTheme="minorHAnsi" w:hAnsiTheme="minorHAnsi"/>
          <w:sz w:val="24"/>
          <w:szCs w:val="24"/>
        </w:rPr>
        <w:t>, o que contribui para redução da criminalidade e confere maior segurança à população, tendo em vista as inúmeras reclamações recebidas acerca da má iluminação de diversos logradouros. No proposto, as vias hoje iluminadas com lâmpadas de vapor de sódio de 100W, passariam de 9000 lúmens para 12000 lúmens por ponto, conferindo aumento de 33% na iluminação.</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Além das vantagens em iluminação propriamente dita, é de notar a economia que a alteração da tecnologia significará, pois as potências menores significam consumo proporcionalmente menor de energia elétrica, refletindo diretamente nas despesas correntes relativas ao serviço de iluminação pública.</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 xml:space="preserve">Outra vantagem muito significativa da tecnologia LED é a vida útil das lâmpadas e equipamentos. O produto tem, em todos os fabricantes, no mínimo 5 anos de garantia. A expectativa é que, com a troca total das luminárias na cidade, praticamente não se tenha ocorrências de luminárias sem funcionamento ou com problemas, e quando houvesse, a solução perpassaria em acionar a garantia do fabricante. </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Relativamente à manutenção, gastamos em torno de R$ 180.000,00 a R$ 200.000,00 por mês com manutenção de iluminação pública e a estimativa é que esse valor fique em patamares abaixo de R$ 15.000,00, possibilitando a manutenção de apenas uma equipe para problemas de força maior, tais como galhos de arvores, fios estourados ou fenômenos atmosféricos.</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Foi aprovado anteriormente a troca de luminárias em toda a região central da cidade, com aproximadamente 3.100 luminárias, o que corresponde a cerca de 9% do total instalado. Dessa forma, considerando que o valor gasto com energia elétrica na iluminação pública do último mês fora de R$ 1.002.785,98, 91% desse valor é R$ 912.535,24, relativos à iluminação de luminárias de vapor de sódio no restante da cidade. Assim, ante a economia esperada de 30%, teríamos economia, em valores absolutos, de R$ 273.760,57.</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A solicitação da presente operação junto à instituição financeira (Caixa Econômica Federal) foi formalizada em 12 de novembro de 2019, através do ofício nº GCRC 261/2019. A operação já vinha sendo tratada junto à instituição financeira há algum tempo, porém aguardava-se o andamento da operação destinada ao quadrante central da cidade (5 milhões), já aprovada pela Lei 9.825, de 04 de dezembro de 2019.</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Os termos do financiamento pretendido são:</w:t>
      </w:r>
    </w:p>
    <w:tbl>
      <w:tblPr>
        <w:tblStyle w:val="Tabelacomgrade"/>
        <w:tblW w:w="9084" w:type="dxa"/>
        <w:tblInd w:w="108" w:type="dxa"/>
        <w:tblLook w:val="04A0" w:firstRow="1" w:lastRow="0" w:firstColumn="1" w:lastColumn="0" w:noHBand="0" w:noVBand="1"/>
      </w:tblPr>
      <w:tblGrid>
        <w:gridCol w:w="3922"/>
        <w:gridCol w:w="5162"/>
      </w:tblGrid>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Valor do financiamento</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R$ 53.299.372,03 (cinquenta e três milhões, duzentos e noventa e nove mil, trezentos e setenta e dois reais e três centavos)</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Custo financeiro</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CDI + 4,5% a.a.</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lastRenderedPageBreak/>
              <w:t>Prazo total</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84 meses</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Carência (a partir da assinatura do contrato)</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12 meses</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Amortização</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72 meses</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Desembolso</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2 desembolsos, na periodicidade semestral</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Garantia</w:t>
            </w:r>
          </w:p>
        </w:tc>
        <w:tc>
          <w:tcPr>
            <w:tcW w:w="5162" w:type="dxa"/>
          </w:tcPr>
          <w:p w:rsidR="009B64AF" w:rsidRPr="009B64AF" w:rsidRDefault="009B64AF" w:rsidP="00220663">
            <w:pPr>
              <w:rPr>
                <w:rFonts w:asciiTheme="minorHAnsi" w:hAnsiTheme="minorHAnsi"/>
                <w:sz w:val="24"/>
                <w:szCs w:val="24"/>
              </w:rPr>
            </w:pPr>
            <w:r w:rsidRPr="009B64AF">
              <w:rPr>
                <w:rFonts w:asciiTheme="minorHAnsi" w:hAnsiTheme="minorHAnsi"/>
                <w:sz w:val="24"/>
                <w:szCs w:val="24"/>
              </w:rPr>
              <w:t>FPM ou FPM + ICMS</w:t>
            </w:r>
          </w:p>
        </w:tc>
      </w:tr>
      <w:tr w:rsidR="009B64AF" w:rsidRPr="009B64AF" w:rsidTr="00220663">
        <w:tc>
          <w:tcPr>
            <w:tcW w:w="392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FEE (Custo de estruturação da operação)</w:t>
            </w:r>
          </w:p>
        </w:tc>
        <w:tc>
          <w:tcPr>
            <w:tcW w:w="5162" w:type="dxa"/>
          </w:tcPr>
          <w:p w:rsidR="009B64AF" w:rsidRPr="009B64AF" w:rsidRDefault="009B64AF" w:rsidP="00220663">
            <w:pPr>
              <w:jc w:val="both"/>
              <w:rPr>
                <w:rFonts w:asciiTheme="minorHAnsi" w:hAnsiTheme="minorHAnsi"/>
                <w:sz w:val="24"/>
                <w:szCs w:val="24"/>
              </w:rPr>
            </w:pPr>
            <w:r w:rsidRPr="009B64AF">
              <w:rPr>
                <w:rFonts w:asciiTheme="minorHAnsi" w:hAnsiTheme="minorHAnsi"/>
                <w:sz w:val="24"/>
                <w:szCs w:val="24"/>
              </w:rPr>
              <w:t>2% do valor financiado</w:t>
            </w:r>
          </w:p>
        </w:tc>
      </w:tr>
    </w:tbl>
    <w:p w:rsidR="009B64AF" w:rsidRPr="009B64AF" w:rsidRDefault="009B64AF" w:rsidP="009B64AF">
      <w:pPr>
        <w:ind w:firstLine="708"/>
        <w:jc w:val="both"/>
        <w:rPr>
          <w:rFonts w:asciiTheme="minorHAnsi" w:hAnsiTheme="minorHAnsi"/>
          <w:sz w:val="24"/>
          <w:szCs w:val="24"/>
        </w:rPr>
      </w:pPr>
    </w:p>
    <w:p w:rsidR="009B64AF" w:rsidRPr="009B64AF" w:rsidRDefault="009B64AF" w:rsidP="00220663">
      <w:pPr>
        <w:ind w:firstLine="708"/>
        <w:jc w:val="both"/>
        <w:rPr>
          <w:rFonts w:asciiTheme="minorHAnsi" w:hAnsiTheme="minorHAnsi"/>
          <w:sz w:val="24"/>
          <w:szCs w:val="24"/>
        </w:rPr>
      </w:pPr>
      <w:r w:rsidRPr="009B64AF">
        <w:rPr>
          <w:rFonts w:asciiTheme="minorHAnsi" w:hAnsiTheme="minorHAnsi"/>
          <w:sz w:val="24"/>
          <w:szCs w:val="24"/>
        </w:rPr>
        <w:t>Os cálculos abaixo demonstrados são baseados em simulação com desembolso imediato, no mesmo mês de formalização do contrato:</w:t>
      </w:r>
    </w:p>
    <w:p w:rsidR="009B64AF" w:rsidRPr="009B64AF" w:rsidRDefault="009B64AF" w:rsidP="009B64AF">
      <w:pPr>
        <w:pStyle w:val="PargrafodaLista"/>
        <w:numPr>
          <w:ilvl w:val="0"/>
          <w:numId w:val="6"/>
        </w:numPr>
        <w:spacing w:after="200" w:line="276" w:lineRule="auto"/>
        <w:jc w:val="both"/>
        <w:rPr>
          <w:rFonts w:asciiTheme="minorHAnsi" w:hAnsiTheme="minorHAnsi"/>
          <w:sz w:val="24"/>
          <w:szCs w:val="24"/>
        </w:rPr>
      </w:pPr>
      <w:r w:rsidRPr="009B64AF">
        <w:rPr>
          <w:rFonts w:asciiTheme="minorHAnsi" w:hAnsiTheme="minorHAnsi"/>
          <w:sz w:val="24"/>
          <w:szCs w:val="24"/>
        </w:rPr>
        <w:t>Juros contratuais: Serão pagos a partir do primeiro mês subsequente ao primeiro desembolso no valor de R$ 197.027,03 chegando à R$ 358.230,97 no último mês da carência;</w:t>
      </w:r>
    </w:p>
    <w:p w:rsidR="009B64AF" w:rsidRPr="009B64AF" w:rsidRDefault="009B64AF" w:rsidP="009B64AF">
      <w:pPr>
        <w:pStyle w:val="PargrafodaLista"/>
        <w:numPr>
          <w:ilvl w:val="0"/>
          <w:numId w:val="6"/>
        </w:numPr>
        <w:spacing w:after="200" w:line="276" w:lineRule="auto"/>
        <w:jc w:val="both"/>
        <w:rPr>
          <w:rFonts w:asciiTheme="minorHAnsi" w:hAnsiTheme="minorHAnsi"/>
          <w:sz w:val="24"/>
          <w:szCs w:val="24"/>
        </w:rPr>
      </w:pPr>
      <w:r w:rsidRPr="009B64AF">
        <w:rPr>
          <w:rFonts w:asciiTheme="minorHAnsi" w:hAnsiTheme="minorHAnsi"/>
          <w:sz w:val="24"/>
          <w:szCs w:val="24"/>
        </w:rPr>
        <w:t>Amortização se iniciará no 13º mês de contrato/desembolso no valor de R$ 740.269,06, somados aos juros de R$ 411.965,61, compondo a prestação inicial de R$ 1.152.234,67.</w:t>
      </w:r>
    </w:p>
    <w:p w:rsid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Por se tratar de um contrato do tipo SAC (Sistema de Amortização Constante) as parcelas terão redução durante o pagamento do contrato, finalizando com juros de R$ 4.975,43 e amortização de R$ 740.269,06, compondo a prestação final de R$ 745.244,49. O sistema SAC permite ainda a antecipação de parcelas e/ou o abatimento de saldo devedor.</w:t>
      </w:r>
    </w:p>
    <w:p w:rsidR="009B64AF" w:rsidRPr="009B64AF" w:rsidRDefault="009B64AF" w:rsidP="009B64AF">
      <w:pPr>
        <w:ind w:firstLine="708"/>
        <w:jc w:val="both"/>
        <w:rPr>
          <w:rFonts w:asciiTheme="minorHAnsi" w:hAnsiTheme="minorHAnsi"/>
          <w:sz w:val="24"/>
          <w:szCs w:val="24"/>
        </w:rPr>
      </w:pPr>
      <w:r>
        <w:rPr>
          <w:rFonts w:asciiTheme="minorHAnsi" w:hAnsiTheme="minorHAnsi"/>
          <w:sz w:val="24"/>
          <w:szCs w:val="24"/>
        </w:rPr>
        <w:t>Demonstração:</w:t>
      </w:r>
    </w:p>
    <w:tbl>
      <w:tblPr>
        <w:tblW w:w="9220" w:type="dxa"/>
        <w:tblInd w:w="75" w:type="dxa"/>
        <w:tblCellMar>
          <w:left w:w="70" w:type="dxa"/>
          <w:right w:w="70" w:type="dxa"/>
        </w:tblCellMar>
        <w:tblLook w:val="04A0" w:firstRow="1" w:lastRow="0" w:firstColumn="1" w:lastColumn="0" w:noHBand="0" w:noVBand="1"/>
      </w:tblPr>
      <w:tblGrid>
        <w:gridCol w:w="980"/>
        <w:gridCol w:w="760"/>
        <w:gridCol w:w="1720"/>
        <w:gridCol w:w="1538"/>
        <w:gridCol w:w="1297"/>
        <w:gridCol w:w="1538"/>
        <w:gridCol w:w="1538"/>
      </w:tblGrid>
      <w:tr w:rsidR="009B64AF" w:rsidRPr="009B64AF" w:rsidTr="00220663">
        <w:trPr>
          <w:trHeight w:val="615"/>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Mês (des)</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mês nº</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Vlr desembolsado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Saldo Devedor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Juros Contratuais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Amortização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Prestação </w:t>
            </w:r>
          </w:p>
        </w:tc>
      </w:tr>
      <w:tr w:rsidR="009B64AF" w:rsidRPr="009B64AF" w:rsidTr="0022066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abr/20</w:t>
            </w:r>
          </w:p>
        </w:tc>
        <w:tc>
          <w:tcPr>
            <w:tcW w:w="76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w:t>
            </w:r>
          </w:p>
        </w:tc>
        <w:tc>
          <w:tcPr>
            <w:tcW w:w="17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26.649.686,02</w:t>
            </w:r>
          </w:p>
        </w:tc>
        <w:tc>
          <w:tcPr>
            <w:tcW w:w="15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26.649.686,02</w:t>
            </w:r>
          </w:p>
        </w:tc>
        <w:tc>
          <w:tcPr>
            <w:tcW w:w="124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r>
      <w:tr w:rsidR="009B64AF" w:rsidRPr="009B64AF" w:rsidTr="0022066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mai/20</w:t>
            </w:r>
          </w:p>
        </w:tc>
        <w:tc>
          <w:tcPr>
            <w:tcW w:w="76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w:t>
            </w:r>
          </w:p>
        </w:tc>
        <w:tc>
          <w:tcPr>
            <w:tcW w:w="172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2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26.649.686,02</w:t>
            </w:r>
          </w:p>
        </w:tc>
        <w:tc>
          <w:tcPr>
            <w:tcW w:w="124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197.027,03</w:t>
            </w:r>
          </w:p>
        </w:tc>
        <w:tc>
          <w:tcPr>
            <w:tcW w:w="150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00" w:type="dxa"/>
            <w:tcBorders>
              <w:top w:val="nil"/>
              <w:left w:val="nil"/>
              <w:bottom w:val="single" w:sz="4" w:space="0" w:color="auto"/>
              <w:right w:val="single" w:sz="4" w:space="0" w:color="auto"/>
            </w:tcBorders>
            <w:shd w:val="clear" w:color="auto" w:fill="auto"/>
            <w:noWrap/>
            <w:vAlign w:val="bottom"/>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197.027,03</w:t>
            </w:r>
          </w:p>
        </w:tc>
      </w:tr>
      <w:tr w:rsidR="009B64AF" w:rsidRPr="009B64AF" w:rsidTr="0022066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out/20</w:t>
            </w:r>
          </w:p>
        </w:tc>
        <w:tc>
          <w:tcPr>
            <w:tcW w:w="76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w:t>
            </w:r>
          </w:p>
        </w:tc>
        <w:tc>
          <w:tcPr>
            <w:tcW w:w="17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26.649.686,02</w:t>
            </w:r>
          </w:p>
        </w:tc>
        <w:tc>
          <w:tcPr>
            <w:tcW w:w="15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53.299.372,03</w:t>
            </w:r>
          </w:p>
        </w:tc>
        <w:tc>
          <w:tcPr>
            <w:tcW w:w="124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394.054,07</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394.054,07</w:t>
            </w:r>
          </w:p>
        </w:tc>
      </w:tr>
      <w:tr w:rsidR="009B64AF" w:rsidRPr="009B64AF" w:rsidTr="0022066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abr/21</w:t>
            </w:r>
          </w:p>
        </w:tc>
        <w:tc>
          <w:tcPr>
            <w:tcW w:w="76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13</w:t>
            </w:r>
          </w:p>
        </w:tc>
        <w:tc>
          <w:tcPr>
            <w:tcW w:w="17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53.299.372,03</w:t>
            </w:r>
          </w:p>
        </w:tc>
        <w:tc>
          <w:tcPr>
            <w:tcW w:w="124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411.965,61</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740.269,06</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1.152.234,67</w:t>
            </w:r>
          </w:p>
        </w:tc>
      </w:tr>
      <w:tr w:rsidR="009B64AF" w:rsidRPr="009B64AF" w:rsidTr="00220663">
        <w:trPr>
          <w:trHeight w:val="3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mar/27</w:t>
            </w:r>
          </w:p>
        </w:tc>
        <w:tc>
          <w:tcPr>
            <w:tcW w:w="76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84</w:t>
            </w:r>
          </w:p>
        </w:tc>
        <w:tc>
          <w:tcPr>
            <w:tcW w:w="17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740.269,06 </w:t>
            </w:r>
          </w:p>
        </w:tc>
        <w:tc>
          <w:tcPr>
            <w:tcW w:w="124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4.975,43</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740.269,06</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745.244,49</w:t>
            </w:r>
          </w:p>
        </w:tc>
      </w:tr>
      <w:tr w:rsidR="009B64AF" w:rsidRPr="009B64AF" w:rsidTr="00220663">
        <w:trPr>
          <w:trHeight w:val="300"/>
        </w:trPr>
        <w:tc>
          <w:tcPr>
            <w:tcW w:w="980" w:type="dxa"/>
            <w:tcBorders>
              <w:top w:val="nil"/>
              <w:left w:val="nil"/>
              <w:bottom w:val="nil"/>
              <w:right w:val="nil"/>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p>
        </w:tc>
        <w:tc>
          <w:tcPr>
            <w:tcW w:w="760" w:type="dxa"/>
            <w:tcBorders>
              <w:top w:val="nil"/>
              <w:left w:val="nil"/>
              <w:bottom w:val="nil"/>
              <w:right w:val="nil"/>
            </w:tcBorders>
            <w:shd w:val="clear" w:color="auto" w:fill="auto"/>
            <w:noWrap/>
            <w:vAlign w:val="bottom"/>
            <w:hideMark/>
          </w:tcPr>
          <w:p w:rsidR="009B64AF" w:rsidRPr="009B64AF" w:rsidRDefault="009B64AF" w:rsidP="00220663">
            <w:pPr>
              <w:rPr>
                <w:rFonts w:asciiTheme="minorHAnsi" w:hAnsiTheme="minorHAnsi"/>
                <w:sz w:val="24"/>
                <w:szCs w:val="24"/>
              </w:rPr>
            </w:pPr>
          </w:p>
        </w:tc>
        <w:tc>
          <w:tcPr>
            <w:tcW w:w="1720" w:type="dxa"/>
            <w:tcBorders>
              <w:top w:val="nil"/>
              <w:left w:val="nil"/>
              <w:bottom w:val="nil"/>
              <w:right w:val="nil"/>
            </w:tcBorders>
            <w:shd w:val="clear" w:color="auto" w:fill="auto"/>
            <w:noWrap/>
            <w:vAlign w:val="bottom"/>
            <w:hideMark/>
          </w:tcPr>
          <w:p w:rsidR="009B64AF" w:rsidRPr="009B64AF" w:rsidRDefault="009B64AF" w:rsidP="00220663">
            <w:pPr>
              <w:rPr>
                <w:rFonts w:asciiTheme="minorHAnsi" w:hAnsiTheme="minorHAnsi"/>
                <w:sz w:val="24"/>
                <w:szCs w:val="24"/>
              </w:rPr>
            </w:pPr>
          </w:p>
        </w:tc>
        <w:tc>
          <w:tcPr>
            <w:tcW w:w="1520" w:type="dxa"/>
            <w:tcBorders>
              <w:top w:val="nil"/>
              <w:left w:val="nil"/>
              <w:bottom w:val="nil"/>
              <w:right w:val="nil"/>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p>
        </w:tc>
        <w:tc>
          <w:tcPr>
            <w:tcW w:w="1240" w:type="dxa"/>
            <w:tcBorders>
              <w:top w:val="nil"/>
              <w:left w:val="nil"/>
              <w:bottom w:val="nil"/>
              <w:right w:val="nil"/>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r w:rsidRPr="009B64AF">
              <w:rPr>
                <w:rFonts w:asciiTheme="minorHAnsi" w:hAnsiTheme="minorHAnsi" w:cs="Calibri"/>
                <w:b/>
                <w:color w:val="000000"/>
                <w:sz w:val="24"/>
                <w:szCs w:val="24"/>
              </w:rPr>
              <w:t>TOTAIS</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53.299.372,03</w:t>
            </w:r>
          </w:p>
        </w:tc>
        <w:tc>
          <w:tcPr>
            <w:tcW w:w="150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70.615.610,27</w:t>
            </w:r>
          </w:p>
        </w:tc>
      </w:tr>
    </w:tbl>
    <w:p w:rsidR="009B64AF" w:rsidRPr="009B64AF" w:rsidRDefault="009B64AF" w:rsidP="009B64AF">
      <w:pPr>
        <w:ind w:firstLine="708"/>
        <w:rPr>
          <w:rFonts w:asciiTheme="minorHAnsi" w:hAnsiTheme="minorHAnsi"/>
          <w:sz w:val="24"/>
          <w:szCs w:val="24"/>
        </w:rPr>
      </w:pPr>
    </w:p>
    <w:p w:rsidR="009B64AF" w:rsidRPr="009B64AF" w:rsidRDefault="009B64AF" w:rsidP="009B64AF">
      <w:pPr>
        <w:ind w:firstLine="708"/>
        <w:rPr>
          <w:rFonts w:asciiTheme="minorHAnsi" w:hAnsiTheme="minorHAnsi"/>
          <w:b/>
          <w:sz w:val="24"/>
          <w:szCs w:val="24"/>
        </w:rPr>
      </w:pPr>
      <w:r w:rsidRPr="009B64AF">
        <w:rPr>
          <w:rFonts w:asciiTheme="minorHAnsi" w:hAnsiTheme="minorHAnsi"/>
          <w:b/>
          <w:sz w:val="24"/>
          <w:szCs w:val="24"/>
        </w:rPr>
        <w:t>PRAZO DE EXECUÇÃO</w:t>
      </w:r>
    </w:p>
    <w:p w:rsidR="009B64AF" w:rsidRPr="009B64AF" w:rsidRDefault="009B64AF" w:rsidP="009B64AF">
      <w:pPr>
        <w:ind w:firstLine="708"/>
        <w:jc w:val="both"/>
        <w:rPr>
          <w:rFonts w:asciiTheme="minorHAnsi" w:hAnsiTheme="minorHAnsi"/>
          <w:sz w:val="24"/>
          <w:szCs w:val="24"/>
        </w:rPr>
      </w:pPr>
      <w:r w:rsidRPr="009B64AF">
        <w:rPr>
          <w:rFonts w:asciiTheme="minorHAnsi" w:hAnsiTheme="minorHAnsi"/>
          <w:sz w:val="24"/>
          <w:szCs w:val="24"/>
        </w:rPr>
        <w:t xml:space="preserve">As operações vinculadas ao Programa Financiamento à Infraestrutura e ao Saneamento (FINISA), como o </w:t>
      </w:r>
      <w:r w:rsidRPr="009B64AF">
        <w:rPr>
          <w:rFonts w:asciiTheme="minorHAnsi" w:hAnsiTheme="minorHAnsi"/>
          <w:b/>
          <w:sz w:val="24"/>
          <w:szCs w:val="24"/>
        </w:rPr>
        <w:t>CAIXA ILUMINA</w:t>
      </w:r>
      <w:r w:rsidRPr="009B64AF">
        <w:rPr>
          <w:rFonts w:asciiTheme="minorHAnsi" w:hAnsiTheme="minorHAnsi"/>
          <w:sz w:val="24"/>
          <w:szCs w:val="24"/>
        </w:rPr>
        <w:t>,</w:t>
      </w:r>
      <w:r w:rsidRPr="009B64AF">
        <w:rPr>
          <w:rFonts w:asciiTheme="minorHAnsi" w:hAnsiTheme="minorHAnsi"/>
          <w:b/>
          <w:sz w:val="24"/>
          <w:szCs w:val="24"/>
        </w:rPr>
        <w:t xml:space="preserve"> </w:t>
      </w:r>
      <w:r w:rsidRPr="009B64AF">
        <w:rPr>
          <w:rFonts w:asciiTheme="minorHAnsi" w:hAnsiTheme="minorHAnsi"/>
          <w:sz w:val="24"/>
          <w:szCs w:val="24"/>
        </w:rPr>
        <w:t>têm como prazo de execução o seu prazo de carência, ou seja, no projeto em tela teremos 12 meses para a execução do projeto, prorrogáveis por 180 dias.</w:t>
      </w:r>
    </w:p>
    <w:p w:rsidR="009B64AF" w:rsidRPr="009B64AF" w:rsidRDefault="009B64AF" w:rsidP="009B64AF">
      <w:pPr>
        <w:ind w:firstLine="708"/>
        <w:rPr>
          <w:rFonts w:asciiTheme="minorHAnsi" w:hAnsiTheme="minorHAnsi"/>
          <w:sz w:val="24"/>
          <w:szCs w:val="24"/>
        </w:rPr>
      </w:pPr>
    </w:p>
    <w:p w:rsidR="009B64AF" w:rsidRDefault="009B64AF" w:rsidP="009B64AF">
      <w:pPr>
        <w:ind w:firstLine="708"/>
        <w:rPr>
          <w:rFonts w:asciiTheme="minorHAnsi" w:hAnsiTheme="minorHAnsi"/>
          <w:b/>
          <w:sz w:val="24"/>
          <w:szCs w:val="24"/>
        </w:rPr>
      </w:pPr>
    </w:p>
    <w:p w:rsidR="009B64AF" w:rsidRDefault="009B64AF" w:rsidP="009B64AF">
      <w:pPr>
        <w:ind w:firstLine="708"/>
        <w:rPr>
          <w:rFonts w:asciiTheme="minorHAnsi" w:hAnsiTheme="minorHAnsi"/>
          <w:b/>
          <w:sz w:val="24"/>
          <w:szCs w:val="24"/>
        </w:rPr>
      </w:pPr>
    </w:p>
    <w:p w:rsidR="009B64AF" w:rsidRDefault="009B64AF" w:rsidP="009B64AF">
      <w:pPr>
        <w:ind w:firstLine="708"/>
        <w:rPr>
          <w:rFonts w:asciiTheme="minorHAnsi" w:hAnsiTheme="minorHAnsi"/>
          <w:b/>
          <w:sz w:val="24"/>
          <w:szCs w:val="24"/>
        </w:rPr>
      </w:pPr>
    </w:p>
    <w:p w:rsidR="009B64AF" w:rsidRDefault="009B64AF" w:rsidP="009B64AF">
      <w:pPr>
        <w:ind w:firstLine="708"/>
        <w:rPr>
          <w:rFonts w:asciiTheme="minorHAnsi" w:hAnsiTheme="minorHAnsi"/>
          <w:b/>
          <w:sz w:val="24"/>
          <w:szCs w:val="24"/>
        </w:rPr>
      </w:pPr>
    </w:p>
    <w:p w:rsidR="009B64AF" w:rsidRDefault="009B64AF" w:rsidP="009B64AF">
      <w:pPr>
        <w:ind w:firstLine="708"/>
        <w:rPr>
          <w:rFonts w:asciiTheme="minorHAnsi" w:hAnsiTheme="minorHAnsi"/>
          <w:b/>
          <w:sz w:val="24"/>
          <w:szCs w:val="24"/>
        </w:rPr>
      </w:pPr>
    </w:p>
    <w:p w:rsidR="009B64AF" w:rsidRDefault="009B64AF" w:rsidP="009B64AF">
      <w:pPr>
        <w:ind w:firstLine="708"/>
        <w:rPr>
          <w:rFonts w:asciiTheme="minorHAnsi" w:hAnsiTheme="minorHAnsi"/>
          <w:b/>
          <w:sz w:val="24"/>
          <w:szCs w:val="24"/>
        </w:rPr>
      </w:pPr>
      <w:r w:rsidRPr="009B64AF">
        <w:rPr>
          <w:rFonts w:asciiTheme="minorHAnsi" w:hAnsiTheme="minorHAnsi"/>
          <w:b/>
          <w:sz w:val="24"/>
          <w:szCs w:val="24"/>
        </w:rPr>
        <w:lastRenderedPageBreak/>
        <w:t>Tabela completa</w:t>
      </w:r>
    </w:p>
    <w:p w:rsidR="009B64AF" w:rsidRDefault="009B64AF" w:rsidP="009B64AF">
      <w:pPr>
        <w:ind w:firstLine="708"/>
        <w:rPr>
          <w:rFonts w:asciiTheme="minorHAnsi" w:hAnsiTheme="minorHAnsi"/>
          <w:b/>
          <w:sz w:val="24"/>
          <w:szCs w:val="24"/>
        </w:rPr>
      </w:pPr>
    </w:p>
    <w:p w:rsidR="009B64AF" w:rsidRPr="009B64AF" w:rsidRDefault="009B64AF" w:rsidP="009B64AF">
      <w:pPr>
        <w:ind w:firstLine="708"/>
        <w:rPr>
          <w:rFonts w:asciiTheme="minorHAnsi" w:hAnsiTheme="minorHAnsi"/>
          <w:sz w:val="24"/>
          <w:szCs w:val="24"/>
        </w:rPr>
      </w:pPr>
    </w:p>
    <w:tbl>
      <w:tblPr>
        <w:tblW w:w="9367" w:type="dxa"/>
        <w:tblInd w:w="75" w:type="dxa"/>
        <w:tblCellMar>
          <w:left w:w="70" w:type="dxa"/>
          <w:right w:w="70" w:type="dxa"/>
        </w:tblCellMar>
        <w:tblLook w:val="04A0" w:firstRow="1" w:lastRow="0" w:firstColumn="1" w:lastColumn="0" w:noHBand="0" w:noVBand="1"/>
      </w:tblPr>
      <w:tblGrid>
        <w:gridCol w:w="867"/>
        <w:gridCol w:w="709"/>
        <w:gridCol w:w="1591"/>
        <w:gridCol w:w="1681"/>
        <w:gridCol w:w="1310"/>
        <w:gridCol w:w="1631"/>
        <w:gridCol w:w="1631"/>
      </w:tblGrid>
      <w:tr w:rsidR="009B64AF" w:rsidRPr="009B64AF" w:rsidTr="00220663">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70.615.610,27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Mês (des)</w:t>
            </w:r>
          </w:p>
        </w:tc>
        <w:tc>
          <w:tcPr>
            <w:tcW w:w="709"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Mês nº</w:t>
            </w:r>
          </w:p>
        </w:tc>
        <w:tc>
          <w:tcPr>
            <w:tcW w:w="1559"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Vlr desembolsado </w:t>
            </w:r>
          </w:p>
        </w:tc>
        <w:tc>
          <w:tcPr>
            <w:tcW w:w="1681"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Saldo Devedor </w:t>
            </w:r>
          </w:p>
        </w:tc>
        <w:tc>
          <w:tcPr>
            <w:tcW w:w="1310"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Juros Contratuais </w:t>
            </w:r>
          </w:p>
        </w:tc>
        <w:tc>
          <w:tcPr>
            <w:tcW w:w="1631"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Amortização </w:t>
            </w:r>
          </w:p>
        </w:tc>
        <w:tc>
          <w:tcPr>
            <w:tcW w:w="1631" w:type="dxa"/>
            <w:tcBorders>
              <w:top w:val="nil"/>
              <w:left w:val="nil"/>
              <w:bottom w:val="single" w:sz="4" w:space="0" w:color="auto"/>
              <w:right w:val="single" w:sz="4" w:space="0" w:color="auto"/>
            </w:tcBorders>
            <w:shd w:val="clear" w:color="auto" w:fill="auto"/>
            <w:noWrap/>
            <w:vAlign w:val="center"/>
            <w:hideMark/>
          </w:tcPr>
          <w:p w:rsidR="009B64AF" w:rsidRPr="009B64AF" w:rsidRDefault="009B64AF" w:rsidP="00220663">
            <w:pPr>
              <w:jc w:val="center"/>
              <w:rPr>
                <w:rFonts w:asciiTheme="minorHAnsi" w:hAnsiTheme="minorHAnsi" w:cs="Calibri"/>
                <w:b/>
                <w:bCs/>
                <w:color w:val="000000"/>
                <w:sz w:val="24"/>
                <w:szCs w:val="24"/>
              </w:rPr>
            </w:pPr>
            <w:r w:rsidRPr="009B64AF">
              <w:rPr>
                <w:rFonts w:asciiTheme="minorHAnsi" w:hAnsiTheme="minorHAnsi" w:cs="Calibri"/>
                <w:b/>
                <w:bCs/>
                <w:color w:val="000000"/>
                <w:sz w:val="24"/>
                <w:szCs w:val="24"/>
              </w:rPr>
              <w:t xml:space="preserve"> Prestação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188.071,26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188.071,26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197.027,03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188.071,26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188.071,26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394.054,07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394.054,07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dez/20</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411.965,61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411.965,61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376.142,52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358.230,97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358.230,97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53.299.372,03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411.965,61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1.152.234,67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52.559.102,97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370.918,32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1.111.187,37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51.818.833,92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365.694,11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1.105.963,17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51.078.564,86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377.635,15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1.117.904,20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50.338.295,81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355.245,71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1.095.514,77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49.598.026,75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366.689,20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1.106.958,26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19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48.857.757,69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361.216,23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1.101.485,28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48.117.488,64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339.573,11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1.079.842,16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dez/21</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47.377.219,58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350.270,28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1.090.539,34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46.636.950,53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344.797,31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1.085.066,36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45.896.681,47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323.900,50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1.064.169,56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45.156.412,41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303.501,24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1.043.770,29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44.416.143,36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343.304,68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1.083.573,73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43.675.874,30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293.550,38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1.033.819,43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42.935.605,25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317.432,44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1.057.701,50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42.195.336,19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311.959,47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1.052.228,52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29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41.455.067,13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292.555,29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1.032.824,35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40.714.798,08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314.695,96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1.054.965,01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39.974.529,02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282.106,89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1.022.375,94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39.234.259,97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276.882,69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1.017.151,74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dez/22</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38.493.990,91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284.594,60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1.024.863,66 </w:t>
            </w:r>
          </w:p>
        </w:tc>
      </w:tr>
      <w:tr w:rsidR="009B64AF" w:rsidRPr="009B64AF" w:rsidTr="009B64A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37.753.721,85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266.434,28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1.006.703,34 </w:t>
            </w:r>
          </w:p>
        </w:tc>
      </w:tr>
      <w:tr w:rsidR="009B64AF" w:rsidRPr="009B64AF" w:rsidTr="009B64A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lastRenderedPageBreak/>
              <w:t>fev/23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37.013.452,80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273.648,66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1.013.917,71 </w:t>
            </w:r>
          </w:p>
        </w:tc>
      </w:tr>
      <w:tr w:rsidR="009B64AF" w:rsidRPr="009B64AF" w:rsidTr="009B64A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36.273.183,74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243.796,08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984.065,13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35.532.914,69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262.702,71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1.002.971,77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34.792.645,63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233.845,22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974.114,27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39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34.052.376,57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263.200,25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1.003.469,31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33.312.107,52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235.089,07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975.358,13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32.571.838,46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229.864,87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970.133,93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31.831.569,41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246.035,02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986.304,08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31.091.300,35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208.968,07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949.237,12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30.351.031,29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224.391,90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964.660,95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dez/23</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29.610.762,24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218.918,93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959.187,98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28.870.493,18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203.743,86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944.012,92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28.130.224,13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217.426,30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957.695,35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27.389.955,07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193.295,46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933.564,52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49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26.649.686,02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188.071,26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928.340,31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25.909.416,96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191.554,06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931.823,12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25.169.147,90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186.081,09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926.350,14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24.428.878,85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164.189,19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904.458,25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23.688.609,79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183.095,83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923.364,88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22.948.340,74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161.950,25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902.219,31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22.208.071,68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156.726,05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896.995,10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21.467.802,62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165.930,59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906.199,65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dez/24</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20.727.533,57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139.312,04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879.581,10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19.987.264,51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147.770,27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888.039,33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59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19.246.995,46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142.297,30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882.566,36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18.506.726,40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118.166,47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858.435,52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17.766.457,34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125.380,84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865.649,90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17.026.188,29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125.878,38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866.147,44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16.285.919,23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114.932,44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855.201,49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15.545.650,18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109.708,23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849.977,29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ago/25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14.805.381,12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114.434,89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854.703,95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14.065.112,06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99.259,83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839.528,89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67</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13.324.843,01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98.513,52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838.782,57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68</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12.584.573,95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93.040,54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833.309,60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dez/25</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69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11.844.304,90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79.606,88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819.875,94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11.104.035,84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85.826,17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826.095,23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10.363.766,78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73.138,82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813.407,88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9.623.497,73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61.446,56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801.715,62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abr/26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8.883.228,67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65.675,68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805.944,73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mai/26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8.142.959,62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60.202,70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800.471,76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jun/26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75</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7.402.690,56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52.242,02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792.511,07 </w:t>
            </w:r>
          </w:p>
        </w:tc>
      </w:tr>
      <w:tr w:rsidR="009B64AF" w:rsidRPr="009B64AF" w:rsidTr="009B64A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jul/26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76</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6.662.421,50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49.256,76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789.525,81 </w:t>
            </w:r>
          </w:p>
        </w:tc>
      </w:tr>
      <w:tr w:rsidR="009B64AF" w:rsidRPr="009B64AF" w:rsidTr="009B64A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lastRenderedPageBreak/>
              <w:t>ago/26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5.922.152,45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43.783,79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784.052,84 </w:t>
            </w:r>
          </w:p>
        </w:tc>
      </w:tr>
      <w:tr w:rsidR="009B64AF" w:rsidRPr="009B64AF" w:rsidTr="009B64A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set/26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5.181.883,39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36.569,41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776.838,47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out/26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79</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4.441.614,34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32.837,84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773.106,89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nov/26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80</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3.701.345,28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26.121,01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766.390,06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dez/26</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81</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2.961.076,22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20.896,81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761.165,86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jan/27</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82</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2.220.807,17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17.165,23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757.434,29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fev/27</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83</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1.480.538,11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10.448,40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750.717,46 </w:t>
            </w:r>
          </w:p>
        </w:tc>
      </w:tr>
      <w:tr w:rsidR="009B64AF" w:rsidRPr="009B64AF" w:rsidTr="00220663">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mar/27</w:t>
            </w:r>
          </w:p>
        </w:tc>
        <w:tc>
          <w:tcPr>
            <w:tcW w:w="70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jc w:val="right"/>
              <w:rPr>
                <w:rFonts w:asciiTheme="minorHAnsi" w:hAnsiTheme="minorHAnsi" w:cs="Calibri"/>
                <w:color w:val="000000"/>
                <w:sz w:val="24"/>
                <w:szCs w:val="24"/>
              </w:rPr>
            </w:pPr>
            <w:r w:rsidRPr="009B64AF">
              <w:rPr>
                <w:rFonts w:asciiTheme="minorHAnsi" w:hAnsiTheme="minorHAnsi" w:cs="Calibri"/>
                <w:color w:val="000000"/>
                <w:sz w:val="24"/>
                <w:szCs w:val="24"/>
              </w:rPr>
              <w:t>84</w:t>
            </w:r>
          </w:p>
        </w:tc>
        <w:tc>
          <w:tcPr>
            <w:tcW w:w="1559"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 </w:t>
            </w:r>
          </w:p>
        </w:tc>
        <w:tc>
          <w:tcPr>
            <w:tcW w:w="168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310"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4.975,43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740.269,06 </w:t>
            </w:r>
          </w:p>
        </w:tc>
        <w:tc>
          <w:tcPr>
            <w:tcW w:w="1631" w:type="dxa"/>
            <w:tcBorders>
              <w:top w:val="nil"/>
              <w:left w:val="nil"/>
              <w:bottom w:val="single" w:sz="4" w:space="0" w:color="auto"/>
              <w:right w:val="single" w:sz="4" w:space="0" w:color="auto"/>
            </w:tcBorders>
            <w:shd w:val="clear" w:color="auto" w:fill="auto"/>
            <w:noWrap/>
            <w:vAlign w:val="bottom"/>
            <w:hideMark/>
          </w:tcPr>
          <w:p w:rsidR="009B64AF" w:rsidRPr="009B64AF" w:rsidRDefault="009B64AF" w:rsidP="00220663">
            <w:pPr>
              <w:rPr>
                <w:rFonts w:asciiTheme="minorHAnsi" w:hAnsiTheme="minorHAnsi" w:cs="Calibri"/>
                <w:color w:val="000000"/>
                <w:sz w:val="24"/>
                <w:szCs w:val="24"/>
              </w:rPr>
            </w:pPr>
            <w:r w:rsidRPr="009B64AF">
              <w:rPr>
                <w:rFonts w:asciiTheme="minorHAnsi" w:hAnsiTheme="minorHAnsi" w:cs="Calibri"/>
                <w:color w:val="000000"/>
                <w:sz w:val="24"/>
                <w:szCs w:val="24"/>
              </w:rPr>
              <w:t xml:space="preserve"> 745.244,49 </w:t>
            </w:r>
          </w:p>
        </w:tc>
      </w:tr>
    </w:tbl>
    <w:p w:rsidR="000B185D" w:rsidRPr="009B64AF" w:rsidRDefault="00F736A0" w:rsidP="00712CE1">
      <w:pPr>
        <w:spacing w:before="120" w:after="120"/>
        <w:ind w:firstLine="709"/>
        <w:jc w:val="both"/>
        <w:rPr>
          <w:rFonts w:asciiTheme="minorHAnsi" w:hAnsiTheme="minorHAnsi" w:cs="Calibri"/>
          <w:color w:val="000000"/>
          <w:sz w:val="24"/>
          <w:szCs w:val="24"/>
        </w:rPr>
      </w:pPr>
      <w:r w:rsidRPr="009B64AF">
        <w:rPr>
          <w:rFonts w:asciiTheme="minorHAnsi" w:hAnsiTheme="minorHAnsi" w:cs="Calibri"/>
          <w:color w:val="000000"/>
          <w:sz w:val="24"/>
          <w:szCs w:val="24"/>
        </w:rPr>
        <w:t xml:space="preserve">Assim, tendo em vista a finalidade a que o </w:t>
      </w:r>
      <w:r w:rsidR="009B64AF">
        <w:rPr>
          <w:rFonts w:asciiTheme="minorHAnsi" w:hAnsiTheme="minorHAnsi" w:cs="Calibri"/>
          <w:color w:val="000000"/>
          <w:sz w:val="24"/>
          <w:szCs w:val="24"/>
        </w:rPr>
        <w:t xml:space="preserve">presente Substitutivo </w:t>
      </w:r>
      <w:r w:rsidRPr="009B64AF">
        <w:rPr>
          <w:rFonts w:asciiTheme="minorHAnsi" w:hAnsiTheme="minorHAnsi" w:cs="Calibri"/>
          <w:color w:val="000000"/>
          <w:sz w:val="24"/>
          <w:szCs w:val="24"/>
        </w:rPr>
        <w:t>se destinará, entendemos estar plenamente justificada a presente propositura que, por certo, irá merecer a aprovação desta Casa de Leis.</w:t>
      </w:r>
      <w:r w:rsidR="002E0B46" w:rsidRPr="009B64AF">
        <w:rPr>
          <w:rFonts w:asciiTheme="minorHAnsi" w:hAnsiTheme="minorHAnsi" w:cs="Calibri"/>
          <w:color w:val="000000"/>
          <w:sz w:val="24"/>
          <w:szCs w:val="24"/>
        </w:rPr>
        <w:t xml:space="preserve"> </w:t>
      </w:r>
    </w:p>
    <w:p w:rsidR="00F736A0" w:rsidRPr="009B64AF" w:rsidRDefault="00F736A0" w:rsidP="00823554">
      <w:pPr>
        <w:spacing w:before="120" w:after="120"/>
        <w:ind w:firstLine="709"/>
        <w:jc w:val="both"/>
        <w:rPr>
          <w:rFonts w:asciiTheme="minorHAnsi" w:hAnsiTheme="minorHAnsi" w:cs="Calibri"/>
          <w:color w:val="000000"/>
          <w:sz w:val="24"/>
          <w:szCs w:val="24"/>
        </w:rPr>
      </w:pPr>
      <w:r w:rsidRPr="009B64AF">
        <w:rPr>
          <w:rFonts w:asciiTheme="minorHAnsi" w:hAnsiTheme="minorHAnsi" w:cs="Calibri"/>
          <w:color w:val="000000"/>
          <w:sz w:val="24"/>
          <w:szCs w:val="24"/>
        </w:rPr>
        <w:t>Por julgarmos esta propositura como medida de urgência, solicitamos seja o presente Projeto de Lei apreciado dentro do menor prazo possível, nos termos do art. 80 da Lei Orgânica do Município de Araraquara.</w:t>
      </w:r>
    </w:p>
    <w:p w:rsidR="00F736A0" w:rsidRPr="009B64AF" w:rsidRDefault="00F736A0" w:rsidP="00823554">
      <w:pPr>
        <w:spacing w:before="120" w:after="120"/>
        <w:ind w:firstLine="709"/>
        <w:jc w:val="both"/>
        <w:rPr>
          <w:rFonts w:asciiTheme="minorHAnsi" w:hAnsiTheme="minorHAnsi" w:cs="Calibri"/>
          <w:color w:val="000000"/>
          <w:sz w:val="24"/>
          <w:szCs w:val="24"/>
        </w:rPr>
      </w:pPr>
      <w:r w:rsidRPr="009B64AF">
        <w:rPr>
          <w:rFonts w:asciiTheme="minorHAnsi" w:hAnsiTheme="minorHAnsi" w:cs="Calibri"/>
          <w:color w:val="000000"/>
          <w:sz w:val="24"/>
          <w:szCs w:val="24"/>
        </w:rPr>
        <w:t>Valemo-nos do ensejo para renovar-lhe os protestos de estima e apreço.</w:t>
      </w:r>
    </w:p>
    <w:p w:rsidR="00857790" w:rsidRPr="009B64AF" w:rsidRDefault="00F736A0" w:rsidP="00823554">
      <w:pPr>
        <w:spacing w:before="120" w:after="120"/>
        <w:ind w:firstLine="709"/>
        <w:jc w:val="both"/>
        <w:rPr>
          <w:rFonts w:asciiTheme="minorHAnsi" w:hAnsiTheme="minorHAnsi" w:cs="Calibri"/>
          <w:color w:val="000000"/>
          <w:sz w:val="24"/>
          <w:szCs w:val="24"/>
        </w:rPr>
      </w:pPr>
      <w:r w:rsidRPr="009B64AF">
        <w:rPr>
          <w:rFonts w:asciiTheme="minorHAnsi" w:hAnsiTheme="minorHAnsi" w:cs="Calibri"/>
          <w:color w:val="000000"/>
          <w:sz w:val="24"/>
          <w:szCs w:val="24"/>
        </w:rPr>
        <w:t>Atenciosamente,</w:t>
      </w:r>
    </w:p>
    <w:p w:rsidR="00140EF9" w:rsidRPr="009B64AF" w:rsidRDefault="00140EF9" w:rsidP="00823554">
      <w:pPr>
        <w:spacing w:before="120" w:after="120"/>
        <w:ind w:firstLine="709"/>
        <w:jc w:val="both"/>
        <w:rPr>
          <w:rFonts w:asciiTheme="minorHAnsi" w:hAnsiTheme="minorHAnsi" w:cs="Calibri"/>
          <w:sz w:val="24"/>
          <w:szCs w:val="24"/>
        </w:rPr>
      </w:pPr>
    </w:p>
    <w:p w:rsidR="00857790" w:rsidRPr="009B64AF" w:rsidRDefault="00857790" w:rsidP="00823554">
      <w:pPr>
        <w:spacing w:before="120" w:after="120"/>
        <w:jc w:val="center"/>
        <w:rPr>
          <w:rFonts w:asciiTheme="minorHAnsi" w:hAnsiTheme="minorHAnsi" w:cs="Calibri"/>
          <w:b/>
          <w:sz w:val="24"/>
          <w:szCs w:val="24"/>
        </w:rPr>
      </w:pPr>
      <w:r w:rsidRPr="009B64AF">
        <w:rPr>
          <w:rFonts w:asciiTheme="minorHAnsi" w:hAnsiTheme="minorHAnsi" w:cs="Calibri"/>
          <w:b/>
          <w:sz w:val="24"/>
          <w:szCs w:val="24"/>
        </w:rPr>
        <w:t>EDINHO SILVA</w:t>
      </w:r>
    </w:p>
    <w:p w:rsidR="00857790" w:rsidRPr="009B64AF" w:rsidRDefault="00857790" w:rsidP="00823554">
      <w:pPr>
        <w:spacing w:before="120" w:after="120"/>
        <w:jc w:val="center"/>
        <w:rPr>
          <w:rFonts w:asciiTheme="minorHAnsi" w:hAnsiTheme="minorHAnsi" w:cs="Calibri"/>
          <w:b/>
          <w:sz w:val="24"/>
          <w:szCs w:val="24"/>
        </w:rPr>
      </w:pPr>
      <w:r w:rsidRPr="009B64AF">
        <w:rPr>
          <w:rFonts w:asciiTheme="minorHAnsi" w:hAnsiTheme="minorHAnsi" w:cs="Calibri"/>
          <w:sz w:val="24"/>
          <w:szCs w:val="24"/>
        </w:rPr>
        <w:t>Prefeito Municipal</w:t>
      </w:r>
    </w:p>
    <w:p w:rsidR="00D86912" w:rsidRPr="009B64AF" w:rsidRDefault="00193F72" w:rsidP="00D86912">
      <w:pPr>
        <w:spacing w:before="120" w:after="120"/>
        <w:jc w:val="center"/>
        <w:rPr>
          <w:rFonts w:asciiTheme="minorHAnsi" w:hAnsiTheme="minorHAnsi" w:cs="Calibri"/>
          <w:b/>
          <w:sz w:val="24"/>
          <w:szCs w:val="24"/>
        </w:rPr>
      </w:pPr>
      <w:r w:rsidRPr="009B64AF">
        <w:rPr>
          <w:rFonts w:asciiTheme="minorHAnsi" w:hAnsiTheme="minorHAnsi" w:cs="Calibri"/>
          <w:sz w:val="24"/>
          <w:szCs w:val="24"/>
          <w:u w:val="single"/>
        </w:rPr>
        <w:br w:type="page"/>
      </w:r>
      <w:r w:rsidR="00E33C3C" w:rsidRPr="009B64AF">
        <w:rPr>
          <w:rFonts w:asciiTheme="minorHAnsi" w:hAnsiTheme="minorHAnsi" w:cs="Calibri"/>
          <w:b/>
          <w:sz w:val="24"/>
          <w:szCs w:val="24"/>
        </w:rPr>
        <w:lastRenderedPageBreak/>
        <w:t>SUBSTITUTIVO AO P</w:t>
      </w:r>
      <w:r w:rsidR="00D86912" w:rsidRPr="009B64AF">
        <w:rPr>
          <w:rFonts w:asciiTheme="minorHAnsi" w:hAnsiTheme="minorHAnsi" w:cs="Calibri"/>
          <w:b/>
          <w:sz w:val="24"/>
          <w:szCs w:val="24"/>
        </w:rPr>
        <w:t>ROJETO DE LEI Nº</w:t>
      </w:r>
      <w:r w:rsidR="00E33C3C" w:rsidRPr="009B64AF">
        <w:rPr>
          <w:rFonts w:asciiTheme="minorHAnsi" w:hAnsiTheme="minorHAnsi" w:cs="Calibri"/>
          <w:b/>
          <w:sz w:val="24"/>
          <w:szCs w:val="24"/>
        </w:rPr>
        <w:t xml:space="preserve"> 073/2020</w:t>
      </w:r>
    </w:p>
    <w:p w:rsidR="00D86912" w:rsidRPr="009B64AF" w:rsidRDefault="00D86912" w:rsidP="00D86912">
      <w:pPr>
        <w:spacing w:before="120" w:after="120"/>
        <w:ind w:left="5103"/>
        <w:jc w:val="center"/>
        <w:rPr>
          <w:rFonts w:asciiTheme="minorHAnsi" w:hAnsiTheme="minorHAnsi" w:cs="Calibri"/>
          <w:b/>
          <w:bCs/>
          <w:sz w:val="24"/>
          <w:szCs w:val="24"/>
        </w:rPr>
      </w:pPr>
    </w:p>
    <w:p w:rsidR="00D86912" w:rsidRPr="009B64AF" w:rsidRDefault="00D86912" w:rsidP="00D86912">
      <w:pPr>
        <w:tabs>
          <w:tab w:val="left" w:pos="9099"/>
        </w:tabs>
        <w:spacing w:before="120" w:after="120"/>
        <w:ind w:left="5103"/>
        <w:jc w:val="both"/>
        <w:rPr>
          <w:rFonts w:asciiTheme="minorHAnsi" w:hAnsiTheme="minorHAnsi" w:cs="Calibri"/>
          <w:sz w:val="22"/>
          <w:szCs w:val="24"/>
        </w:rPr>
      </w:pPr>
      <w:r w:rsidRPr="009B64AF">
        <w:rPr>
          <w:rFonts w:asciiTheme="minorHAnsi" w:hAnsiTheme="minorHAnsi" w:cs="Calibri"/>
          <w:sz w:val="22"/>
          <w:szCs w:val="24"/>
        </w:rPr>
        <w:t>Autoriza o Pode</w:t>
      </w:r>
      <w:r w:rsidR="00E33C3C" w:rsidRPr="009B64AF">
        <w:rPr>
          <w:rFonts w:asciiTheme="minorHAnsi" w:hAnsiTheme="minorHAnsi" w:cs="Calibri"/>
          <w:sz w:val="22"/>
          <w:szCs w:val="24"/>
        </w:rPr>
        <w:t>r Executivo a contratar operações</w:t>
      </w:r>
      <w:r w:rsidRPr="009B64AF">
        <w:rPr>
          <w:rFonts w:asciiTheme="minorHAnsi" w:hAnsiTheme="minorHAnsi" w:cs="Calibri"/>
          <w:sz w:val="22"/>
          <w:szCs w:val="24"/>
        </w:rPr>
        <w:t xml:space="preserve"> de crédito com a Caixa Econômica Federal, </w:t>
      </w:r>
      <w:r w:rsidR="00E33C3C" w:rsidRPr="009B64AF">
        <w:rPr>
          <w:rFonts w:asciiTheme="minorHAnsi" w:hAnsiTheme="minorHAnsi" w:cs="Calibri"/>
          <w:sz w:val="22"/>
          <w:szCs w:val="24"/>
        </w:rPr>
        <w:t xml:space="preserve">até o limite de valor que especifica, </w:t>
      </w:r>
      <w:r w:rsidRPr="009B64AF">
        <w:rPr>
          <w:rFonts w:asciiTheme="minorHAnsi" w:hAnsiTheme="minorHAnsi" w:cs="Calibri"/>
          <w:sz w:val="22"/>
          <w:szCs w:val="24"/>
        </w:rPr>
        <w:t>para modernização, expansão e melhoria de eficiência da rede de iluminação pública do Município, e dá outras providências.</w:t>
      </w:r>
    </w:p>
    <w:p w:rsidR="00D86912" w:rsidRPr="009B64AF" w:rsidRDefault="00D86912" w:rsidP="00D86912">
      <w:pPr>
        <w:tabs>
          <w:tab w:val="left" w:pos="9099"/>
        </w:tabs>
        <w:spacing w:before="120" w:after="120"/>
        <w:ind w:left="3402"/>
        <w:jc w:val="both"/>
        <w:rPr>
          <w:rFonts w:asciiTheme="minorHAnsi" w:hAnsiTheme="minorHAnsi" w:cs="Calibri"/>
          <w:sz w:val="24"/>
          <w:szCs w:val="24"/>
        </w:rPr>
      </w:pP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bCs/>
          <w:sz w:val="24"/>
          <w:szCs w:val="24"/>
        </w:rPr>
        <w:t>Art. 1º</w:t>
      </w:r>
      <w:r w:rsidRPr="009B64AF">
        <w:rPr>
          <w:rFonts w:asciiTheme="minorHAnsi" w:hAnsiTheme="minorHAnsi"/>
          <w:sz w:val="24"/>
          <w:szCs w:val="24"/>
        </w:rPr>
        <w:t xml:space="preserve"> </w:t>
      </w:r>
      <w:r w:rsidRPr="009B64AF">
        <w:rPr>
          <w:rFonts w:asciiTheme="minorHAnsi" w:hAnsiTheme="minorHAnsi" w:cs="Arial"/>
          <w:color w:val="000000"/>
          <w:sz w:val="24"/>
          <w:szCs w:val="24"/>
        </w:rPr>
        <w:t xml:space="preserve">Fica o Poder Executivo autorizado a contratar </w:t>
      </w:r>
      <w:r w:rsidR="00E33C3C" w:rsidRPr="009B64AF">
        <w:rPr>
          <w:rFonts w:asciiTheme="minorHAnsi" w:hAnsiTheme="minorHAnsi" w:cs="Arial"/>
          <w:color w:val="000000"/>
          <w:sz w:val="24"/>
          <w:szCs w:val="24"/>
        </w:rPr>
        <w:t>operações</w:t>
      </w:r>
      <w:r w:rsidRPr="009B64AF">
        <w:rPr>
          <w:rFonts w:asciiTheme="minorHAnsi" w:hAnsiTheme="minorHAnsi" w:cs="Arial"/>
          <w:color w:val="000000"/>
          <w:sz w:val="24"/>
          <w:szCs w:val="24"/>
        </w:rPr>
        <w:t xml:space="preserve"> de crédito junto à Caixa Econômica Federal, até o valor de R$ 53.299.372,03 (cinquenta e três milhões, duzentos e noventa e nove mil, trezentos e setenta e dois reais e três centavos), no âmbito do Caixa Ilumina, para modernização, expansão e melhoria de eficiência da rede de iluminação pública do Município, referente à substituição de lâmpadas e luminárias convencionais (vapor de sódio, vapor de mercúrio, mista e vapor metálico) por luminárias com tecnologia diodos emissores de luz (LED), contemplando todas as ações que integrarem o projeto, nos termos da Resolução nº 2.827, de 30 de março de 2001, do Banco Central do Brasil, e suas alterações posteriores, ou outra que venha a substituir, observada a legislação vigente, em especial as disposições da Lei Complementar Federal nº 101, de 4 de maio de 2000.</w:t>
      </w:r>
    </w:p>
    <w:p w:rsidR="00E33C3C" w:rsidRPr="009B64AF" w:rsidRDefault="00E33C3C"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Parágrafo único. A autorização constante desta lei abrange a obtenção do valor total constante do “caput” deste artigo, que poderá ser disponibilizado, alternativamente, em uma única operação ou em operações de crédito.</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 xml:space="preserve">Art. 2º Os recursos provenientes </w:t>
      </w:r>
      <w:r w:rsidR="00E33C3C" w:rsidRPr="009B64AF">
        <w:rPr>
          <w:rFonts w:asciiTheme="minorHAnsi" w:hAnsiTheme="minorHAnsi" w:cs="Arial"/>
          <w:color w:val="000000"/>
          <w:sz w:val="24"/>
          <w:szCs w:val="24"/>
        </w:rPr>
        <w:t>das operações</w:t>
      </w:r>
      <w:r w:rsidRPr="009B64AF">
        <w:rPr>
          <w:rFonts w:asciiTheme="minorHAnsi" w:hAnsiTheme="minorHAnsi" w:cs="Arial"/>
          <w:color w:val="000000"/>
          <w:sz w:val="24"/>
          <w:szCs w:val="24"/>
        </w:rPr>
        <w:t xml:space="preserve"> de crédito a que se refere esta lei deverão ser consignados como receita no orçamento ou em créditos adicionais, nos termos do inciso II do § 1º do art. 32 da Lei Complementar Federal nº 101, de 2000.</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Art. 3º Os orçamentos ou os créditos adicionais deverão consignar as dotações necessárias às amortizações e aos pagamentos dos encargos anuais, relativos aos contratos de financiamento a que se refere o art. 1º desta lei.</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Art. 4º Fica o Poder Executivo autorizado a oferecer como garantia para pagamento de amortização, juros e tarifas bancárias e outros encargos da operação de crédito, de que trata esta lei, cotas de repartição das receitas tributárias que compõem o Fundo de Participação dos Municípios (FPM), previsto no art. 159 da Constituição da República Federativa do Brasil.</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 1º Fica a instituição financeira depositária autorizada a debitar, e posteriormente, transferir os recursos a crédito da Caixa Econômica Federal, nos montantes necessários à amortização e pagamento final da dívida, nos prazos contratualmente estipulados.</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t>§ 2º As receitas de transferências sobre as quais se autoriza a vinculação em garantia, em caso de sua extinção, serão substituídas pelas receitas que vierem a serem estabelecidas constitucionalmente, independentemente de nova autorização.</w:t>
      </w:r>
    </w:p>
    <w:p w:rsidR="00D86912" w:rsidRPr="009B64AF" w:rsidRDefault="00D86912" w:rsidP="00D86912">
      <w:pPr>
        <w:spacing w:before="120" w:after="120"/>
        <w:ind w:firstLine="1418"/>
        <w:jc w:val="both"/>
        <w:rPr>
          <w:rFonts w:asciiTheme="minorHAnsi" w:hAnsiTheme="minorHAnsi" w:cs="Arial"/>
          <w:color w:val="000000"/>
          <w:sz w:val="24"/>
          <w:szCs w:val="24"/>
        </w:rPr>
      </w:pPr>
      <w:r w:rsidRPr="009B64AF">
        <w:rPr>
          <w:rFonts w:asciiTheme="minorHAnsi" w:hAnsiTheme="minorHAnsi" w:cs="Arial"/>
          <w:color w:val="000000"/>
          <w:sz w:val="24"/>
          <w:szCs w:val="24"/>
        </w:rPr>
        <w:lastRenderedPageBreak/>
        <w:t>Art. 5º Fica o Chefe do Poder Executivo autorizado a abrir créditos adicionais destinados a fazer face aos pagamentos de obrigações decorrentes da operação de crédito ora autorizada.</w:t>
      </w:r>
    </w:p>
    <w:p w:rsidR="00D86912" w:rsidRPr="009B64AF" w:rsidRDefault="00D86912" w:rsidP="00D86912">
      <w:pPr>
        <w:spacing w:before="120" w:after="120"/>
        <w:ind w:firstLine="1418"/>
        <w:jc w:val="both"/>
        <w:rPr>
          <w:rFonts w:asciiTheme="minorHAnsi" w:hAnsiTheme="minorHAnsi" w:cs="Calibri"/>
          <w:sz w:val="24"/>
          <w:szCs w:val="24"/>
        </w:rPr>
      </w:pPr>
      <w:r w:rsidRPr="009B64AF">
        <w:rPr>
          <w:rFonts w:asciiTheme="minorHAnsi" w:hAnsiTheme="minorHAnsi" w:cs="Arial"/>
          <w:color w:val="000000"/>
          <w:sz w:val="24"/>
          <w:szCs w:val="24"/>
        </w:rPr>
        <w:t>Art. 6º Esta lei entra em vigor na data de sua publicação.</w:t>
      </w:r>
    </w:p>
    <w:p w:rsidR="00D86912" w:rsidRPr="009B64AF" w:rsidRDefault="00D86912" w:rsidP="00D86912">
      <w:pPr>
        <w:spacing w:before="120" w:after="120"/>
        <w:ind w:firstLine="1418"/>
        <w:jc w:val="both"/>
        <w:rPr>
          <w:rFonts w:asciiTheme="minorHAnsi" w:hAnsiTheme="minorHAnsi"/>
          <w:sz w:val="24"/>
          <w:szCs w:val="24"/>
        </w:rPr>
      </w:pPr>
      <w:r w:rsidRPr="009B64AF">
        <w:rPr>
          <w:rFonts w:asciiTheme="minorHAnsi" w:hAnsiTheme="minorHAnsi"/>
          <w:sz w:val="24"/>
          <w:szCs w:val="24"/>
        </w:rPr>
        <w:t>PAÇO MUNICIPAL “PREFEITO RUBENS CRUZ”, 1</w:t>
      </w:r>
      <w:r w:rsidR="00E33C3C" w:rsidRPr="009B64AF">
        <w:rPr>
          <w:rFonts w:asciiTheme="minorHAnsi" w:hAnsiTheme="minorHAnsi"/>
          <w:sz w:val="24"/>
          <w:szCs w:val="24"/>
        </w:rPr>
        <w:t>8</w:t>
      </w:r>
      <w:r w:rsidRPr="009B64AF">
        <w:rPr>
          <w:rFonts w:asciiTheme="minorHAnsi" w:hAnsiTheme="minorHAnsi"/>
          <w:sz w:val="24"/>
          <w:szCs w:val="24"/>
        </w:rPr>
        <w:t xml:space="preserve"> de fevereiro de 2020.</w:t>
      </w:r>
    </w:p>
    <w:p w:rsidR="00D86912" w:rsidRPr="009B64AF" w:rsidRDefault="00D86912" w:rsidP="00D86912">
      <w:pPr>
        <w:spacing w:before="120" w:after="120"/>
        <w:jc w:val="both"/>
        <w:rPr>
          <w:rFonts w:asciiTheme="minorHAnsi" w:hAnsiTheme="minorHAnsi"/>
          <w:sz w:val="24"/>
          <w:szCs w:val="24"/>
        </w:rPr>
      </w:pPr>
    </w:p>
    <w:p w:rsidR="00D86912" w:rsidRPr="009B64AF" w:rsidRDefault="00D86912" w:rsidP="00D86912">
      <w:pPr>
        <w:spacing w:before="120" w:after="120"/>
        <w:jc w:val="center"/>
        <w:rPr>
          <w:rFonts w:asciiTheme="minorHAnsi" w:hAnsiTheme="minorHAnsi"/>
          <w:b/>
          <w:sz w:val="24"/>
          <w:szCs w:val="24"/>
        </w:rPr>
      </w:pPr>
      <w:r w:rsidRPr="009B64AF">
        <w:rPr>
          <w:rFonts w:asciiTheme="minorHAnsi" w:hAnsiTheme="minorHAnsi"/>
          <w:b/>
          <w:sz w:val="24"/>
          <w:szCs w:val="24"/>
        </w:rPr>
        <w:t>EDINHO SILVA</w:t>
      </w:r>
    </w:p>
    <w:p w:rsidR="00D86912" w:rsidRPr="009B64AF" w:rsidRDefault="00D86912" w:rsidP="00D86912">
      <w:pPr>
        <w:spacing w:before="120" w:after="120"/>
        <w:jc w:val="center"/>
        <w:rPr>
          <w:rFonts w:asciiTheme="minorHAnsi" w:hAnsiTheme="minorHAnsi"/>
          <w:b/>
          <w:sz w:val="24"/>
          <w:szCs w:val="24"/>
        </w:rPr>
      </w:pPr>
      <w:r w:rsidRPr="009B64AF">
        <w:rPr>
          <w:rFonts w:asciiTheme="minorHAnsi" w:hAnsiTheme="minorHAnsi"/>
          <w:sz w:val="24"/>
          <w:szCs w:val="24"/>
        </w:rPr>
        <w:t>Prefeito Municipal</w:t>
      </w:r>
    </w:p>
    <w:p w:rsidR="0059151E" w:rsidRPr="009B64AF" w:rsidRDefault="0059151E" w:rsidP="00D86912">
      <w:pPr>
        <w:spacing w:before="120" w:after="120"/>
        <w:jc w:val="center"/>
        <w:rPr>
          <w:rFonts w:asciiTheme="minorHAnsi" w:hAnsiTheme="minorHAnsi"/>
          <w:b/>
          <w:sz w:val="24"/>
          <w:szCs w:val="24"/>
        </w:rPr>
      </w:pPr>
    </w:p>
    <w:sectPr w:rsidR="0059151E" w:rsidRPr="009B64AF" w:rsidSect="00141A06">
      <w:headerReference w:type="default" r:id="rId8"/>
      <w:footerReference w:type="default" r:id="rId9"/>
      <w:pgSz w:w="11906" w:h="16838"/>
      <w:pgMar w:top="1701" w:right="1134"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69A" w:rsidRDefault="002B669A" w:rsidP="008166A0">
      <w:r>
        <w:separator/>
      </w:r>
    </w:p>
  </w:endnote>
  <w:endnote w:type="continuationSeparator" w:id="0">
    <w:p w:rsidR="002B669A" w:rsidRDefault="002B669A"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6BD" w:rsidRPr="004E63D5" w:rsidRDefault="001666BD">
    <w:pPr>
      <w:pStyle w:val="Rodap"/>
      <w:jc w:val="right"/>
      <w:rPr>
        <w:rFonts w:ascii="Calibri" w:hAnsi="Calibri"/>
        <w:sz w:val="22"/>
        <w:szCs w:val="22"/>
      </w:rPr>
    </w:pPr>
    <w:r w:rsidRPr="004E63D5">
      <w:rPr>
        <w:rFonts w:ascii="Calibri" w:hAnsi="Calibri"/>
        <w:sz w:val="22"/>
        <w:szCs w:val="22"/>
      </w:rPr>
      <w:t xml:space="preserve">Página </w:t>
    </w:r>
    <w:r w:rsidRPr="004E63D5">
      <w:rPr>
        <w:rFonts w:ascii="Calibri" w:hAnsi="Calibri"/>
        <w:b/>
        <w:sz w:val="22"/>
        <w:szCs w:val="22"/>
      </w:rPr>
      <w:fldChar w:fldCharType="begin"/>
    </w:r>
    <w:r w:rsidRPr="004E63D5">
      <w:rPr>
        <w:rFonts w:ascii="Calibri" w:hAnsi="Calibri"/>
        <w:b/>
        <w:sz w:val="22"/>
        <w:szCs w:val="22"/>
      </w:rPr>
      <w:instrText>PAGE</w:instrText>
    </w:r>
    <w:r w:rsidRPr="004E63D5">
      <w:rPr>
        <w:rFonts w:ascii="Calibri" w:hAnsi="Calibri"/>
        <w:b/>
        <w:sz w:val="22"/>
        <w:szCs w:val="22"/>
      </w:rPr>
      <w:fldChar w:fldCharType="separate"/>
    </w:r>
    <w:r w:rsidR="00081E61">
      <w:rPr>
        <w:rFonts w:ascii="Calibri" w:hAnsi="Calibri"/>
        <w:b/>
        <w:noProof/>
        <w:sz w:val="22"/>
        <w:szCs w:val="22"/>
      </w:rPr>
      <w:t>2</w:t>
    </w:r>
    <w:r w:rsidRPr="004E63D5">
      <w:rPr>
        <w:rFonts w:ascii="Calibri" w:hAnsi="Calibri"/>
        <w:b/>
        <w:sz w:val="22"/>
        <w:szCs w:val="22"/>
      </w:rPr>
      <w:fldChar w:fldCharType="end"/>
    </w:r>
    <w:r w:rsidRPr="004E63D5">
      <w:rPr>
        <w:rFonts w:ascii="Calibri" w:hAnsi="Calibri"/>
        <w:sz w:val="22"/>
        <w:szCs w:val="22"/>
      </w:rPr>
      <w:t xml:space="preserve"> de </w:t>
    </w:r>
    <w:r w:rsidRPr="004E63D5">
      <w:rPr>
        <w:rFonts w:ascii="Calibri" w:hAnsi="Calibri"/>
        <w:b/>
        <w:sz w:val="22"/>
        <w:szCs w:val="22"/>
      </w:rPr>
      <w:fldChar w:fldCharType="begin"/>
    </w:r>
    <w:r w:rsidRPr="004E63D5">
      <w:rPr>
        <w:rFonts w:ascii="Calibri" w:hAnsi="Calibri"/>
        <w:b/>
        <w:sz w:val="22"/>
        <w:szCs w:val="22"/>
      </w:rPr>
      <w:instrText>NUMPAGES</w:instrText>
    </w:r>
    <w:r w:rsidRPr="004E63D5">
      <w:rPr>
        <w:rFonts w:ascii="Calibri" w:hAnsi="Calibri"/>
        <w:b/>
        <w:sz w:val="22"/>
        <w:szCs w:val="22"/>
      </w:rPr>
      <w:fldChar w:fldCharType="separate"/>
    </w:r>
    <w:r w:rsidR="00081E61">
      <w:rPr>
        <w:rFonts w:ascii="Calibri" w:hAnsi="Calibri"/>
        <w:b/>
        <w:noProof/>
        <w:sz w:val="22"/>
        <w:szCs w:val="22"/>
      </w:rPr>
      <w:t>8</w:t>
    </w:r>
    <w:r w:rsidRPr="004E63D5">
      <w:rPr>
        <w:rFonts w:ascii="Calibri" w:hAnsi="Calibri"/>
        <w:b/>
        <w:sz w:val="22"/>
        <w:szCs w:val="22"/>
      </w:rPr>
      <w:fldChar w:fldCharType="end"/>
    </w:r>
  </w:p>
  <w:p w:rsidR="001666BD" w:rsidRPr="004E63D5" w:rsidRDefault="001666BD">
    <w:pPr>
      <w:pStyle w:val="Rodap"/>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69A" w:rsidRDefault="002B669A" w:rsidP="008166A0">
      <w:r>
        <w:separator/>
      </w:r>
    </w:p>
  </w:footnote>
  <w:footnote w:type="continuationSeparator" w:id="0">
    <w:p w:rsidR="002B669A" w:rsidRDefault="002B669A"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6BD" w:rsidRDefault="001666BD" w:rsidP="00141A06">
    <w:pPr>
      <w:ind w:hanging="567"/>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1666BD" w:rsidRDefault="001666BD" w:rsidP="00141A06">
    <w:pPr>
      <w:pStyle w:val="Legenda"/>
      <w:ind w:hanging="567"/>
    </w:pPr>
  </w:p>
  <w:p w:rsidR="001666BD" w:rsidRDefault="001666BD" w:rsidP="00141A06">
    <w:pPr>
      <w:pStyle w:val="Legenda"/>
      <w:tabs>
        <w:tab w:val="left" w:pos="4435"/>
      </w:tabs>
      <w:ind w:hanging="567"/>
      <w:jc w:val="left"/>
    </w:pPr>
    <w:r>
      <w:tab/>
    </w:r>
    <w:r>
      <w:tab/>
    </w:r>
  </w:p>
  <w:p w:rsidR="001666BD" w:rsidRDefault="001666BD" w:rsidP="00141A06">
    <w:pPr>
      <w:pStyle w:val="Legenda"/>
      <w:ind w:hanging="567"/>
    </w:pPr>
  </w:p>
  <w:p w:rsidR="001666BD" w:rsidRPr="00BE4DA8" w:rsidRDefault="001666BD" w:rsidP="00141A06">
    <w:pPr>
      <w:pStyle w:val="Legenda"/>
      <w:ind w:hanging="567"/>
      <w:rPr>
        <w:sz w:val="12"/>
        <w:szCs w:val="24"/>
      </w:rPr>
    </w:pPr>
  </w:p>
  <w:p w:rsidR="001666BD" w:rsidRDefault="001666BD" w:rsidP="00140EF9">
    <w:pPr>
      <w:pStyle w:val="Legenda"/>
      <w:ind w:hanging="567"/>
      <w:rPr>
        <w:sz w:val="24"/>
        <w:szCs w:val="24"/>
      </w:rPr>
    </w:pPr>
    <w:r w:rsidRPr="00A01476">
      <w:rPr>
        <w:sz w:val="24"/>
        <w:szCs w:val="24"/>
      </w:rPr>
      <w:t>MUNICÍPIO DE ARARAQUARA</w:t>
    </w:r>
  </w:p>
  <w:p w:rsidR="001666BD" w:rsidRPr="002E0B46" w:rsidRDefault="001666BD" w:rsidP="002E0B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A6A"/>
    <w:multiLevelType w:val="hybridMultilevel"/>
    <w:tmpl w:val="6C9619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nsid w:val="1EA0142F"/>
    <w:multiLevelType w:val="hybridMultilevel"/>
    <w:tmpl w:val="37AC39D4"/>
    <w:lvl w:ilvl="0" w:tplc="71508C7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2FD3794D"/>
    <w:multiLevelType w:val="hybridMultilevel"/>
    <w:tmpl w:val="95BE197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373765A0"/>
    <w:multiLevelType w:val="hybridMultilevel"/>
    <w:tmpl w:val="37AC39D4"/>
    <w:lvl w:ilvl="0" w:tplc="71508C7E">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6E806C87"/>
    <w:multiLevelType w:val="hybridMultilevel"/>
    <w:tmpl w:val="AC34F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431"/>
    <w:rsid w:val="000074FE"/>
    <w:rsid w:val="000075D4"/>
    <w:rsid w:val="00007CCF"/>
    <w:rsid w:val="00017F36"/>
    <w:rsid w:val="00030E70"/>
    <w:rsid w:val="00043D87"/>
    <w:rsid w:val="000512ED"/>
    <w:rsid w:val="00057C37"/>
    <w:rsid w:val="00065C7B"/>
    <w:rsid w:val="00066693"/>
    <w:rsid w:val="00072333"/>
    <w:rsid w:val="00077088"/>
    <w:rsid w:val="00080C9E"/>
    <w:rsid w:val="00081E61"/>
    <w:rsid w:val="00087003"/>
    <w:rsid w:val="0009113A"/>
    <w:rsid w:val="000931B5"/>
    <w:rsid w:val="00097B6F"/>
    <w:rsid w:val="000B0BF9"/>
    <w:rsid w:val="000B185D"/>
    <w:rsid w:val="000B7887"/>
    <w:rsid w:val="000D17E3"/>
    <w:rsid w:val="000D4A83"/>
    <w:rsid w:val="000D52F4"/>
    <w:rsid w:val="000E11D1"/>
    <w:rsid w:val="000E36D6"/>
    <w:rsid w:val="0010035A"/>
    <w:rsid w:val="001004BB"/>
    <w:rsid w:val="00100DAE"/>
    <w:rsid w:val="001029A5"/>
    <w:rsid w:val="00103FCA"/>
    <w:rsid w:val="0010557F"/>
    <w:rsid w:val="00112A46"/>
    <w:rsid w:val="00113A50"/>
    <w:rsid w:val="001168A5"/>
    <w:rsid w:val="00123068"/>
    <w:rsid w:val="001246AD"/>
    <w:rsid w:val="0013374F"/>
    <w:rsid w:val="001351D8"/>
    <w:rsid w:val="00135A6E"/>
    <w:rsid w:val="00135EAD"/>
    <w:rsid w:val="00140EF9"/>
    <w:rsid w:val="0014117A"/>
    <w:rsid w:val="00141A06"/>
    <w:rsid w:val="00144D51"/>
    <w:rsid w:val="001463E0"/>
    <w:rsid w:val="00165F4A"/>
    <w:rsid w:val="001666BD"/>
    <w:rsid w:val="001800E1"/>
    <w:rsid w:val="00193F72"/>
    <w:rsid w:val="001A6BF0"/>
    <w:rsid w:val="001A6C79"/>
    <w:rsid w:val="001C05FD"/>
    <w:rsid w:val="001C1317"/>
    <w:rsid w:val="001E1A55"/>
    <w:rsid w:val="001E3046"/>
    <w:rsid w:val="001F32BB"/>
    <w:rsid w:val="001F665E"/>
    <w:rsid w:val="002056BC"/>
    <w:rsid w:val="00227A87"/>
    <w:rsid w:val="00230658"/>
    <w:rsid w:val="00245191"/>
    <w:rsid w:val="002452E4"/>
    <w:rsid w:val="002455DD"/>
    <w:rsid w:val="00250D64"/>
    <w:rsid w:val="00252F7D"/>
    <w:rsid w:val="00274B8F"/>
    <w:rsid w:val="00275644"/>
    <w:rsid w:val="00285D23"/>
    <w:rsid w:val="00285FD4"/>
    <w:rsid w:val="00286BC6"/>
    <w:rsid w:val="002972AA"/>
    <w:rsid w:val="002B203A"/>
    <w:rsid w:val="002B4C8F"/>
    <w:rsid w:val="002B669A"/>
    <w:rsid w:val="002C203E"/>
    <w:rsid w:val="002D1B1C"/>
    <w:rsid w:val="002D6F18"/>
    <w:rsid w:val="002D7FBD"/>
    <w:rsid w:val="002E0A19"/>
    <w:rsid w:val="002E0B31"/>
    <w:rsid w:val="002E0B46"/>
    <w:rsid w:val="002E4BC7"/>
    <w:rsid w:val="002F21B6"/>
    <w:rsid w:val="0030245D"/>
    <w:rsid w:val="00314938"/>
    <w:rsid w:val="00321DA6"/>
    <w:rsid w:val="003265B0"/>
    <w:rsid w:val="00330D23"/>
    <w:rsid w:val="00335769"/>
    <w:rsid w:val="0034099E"/>
    <w:rsid w:val="00342EBC"/>
    <w:rsid w:val="00344036"/>
    <w:rsid w:val="003564F9"/>
    <w:rsid w:val="00356D1C"/>
    <w:rsid w:val="00356E71"/>
    <w:rsid w:val="00357603"/>
    <w:rsid w:val="00362063"/>
    <w:rsid w:val="00362C5D"/>
    <w:rsid w:val="0036415D"/>
    <w:rsid w:val="00377746"/>
    <w:rsid w:val="00382997"/>
    <w:rsid w:val="0038523B"/>
    <w:rsid w:val="00390779"/>
    <w:rsid w:val="003B2C2D"/>
    <w:rsid w:val="003E376C"/>
    <w:rsid w:val="003F7D7B"/>
    <w:rsid w:val="004005F2"/>
    <w:rsid w:val="004046FA"/>
    <w:rsid w:val="00411553"/>
    <w:rsid w:val="004143C2"/>
    <w:rsid w:val="00420C7A"/>
    <w:rsid w:val="00431648"/>
    <w:rsid w:val="00434A29"/>
    <w:rsid w:val="004419B2"/>
    <w:rsid w:val="004430E6"/>
    <w:rsid w:val="004531B0"/>
    <w:rsid w:val="00470B6E"/>
    <w:rsid w:val="004744D2"/>
    <w:rsid w:val="0048112F"/>
    <w:rsid w:val="00490080"/>
    <w:rsid w:val="004904C2"/>
    <w:rsid w:val="00491DE5"/>
    <w:rsid w:val="00495F1E"/>
    <w:rsid w:val="004A29A6"/>
    <w:rsid w:val="004B7FE4"/>
    <w:rsid w:val="004D1008"/>
    <w:rsid w:val="004D2AFF"/>
    <w:rsid w:val="004E63D5"/>
    <w:rsid w:val="004F65E1"/>
    <w:rsid w:val="004F6D7C"/>
    <w:rsid w:val="00506DAA"/>
    <w:rsid w:val="0051137C"/>
    <w:rsid w:val="00514D12"/>
    <w:rsid w:val="00516D5B"/>
    <w:rsid w:val="00517812"/>
    <w:rsid w:val="0052023D"/>
    <w:rsid w:val="00535DAA"/>
    <w:rsid w:val="00540C91"/>
    <w:rsid w:val="005431E2"/>
    <w:rsid w:val="005542EA"/>
    <w:rsid w:val="00566221"/>
    <w:rsid w:val="00567B81"/>
    <w:rsid w:val="00572389"/>
    <w:rsid w:val="00572808"/>
    <w:rsid w:val="00573070"/>
    <w:rsid w:val="00576178"/>
    <w:rsid w:val="005803DB"/>
    <w:rsid w:val="0059151E"/>
    <w:rsid w:val="00594B8C"/>
    <w:rsid w:val="00594E78"/>
    <w:rsid w:val="005A351E"/>
    <w:rsid w:val="005A5EB4"/>
    <w:rsid w:val="005A7093"/>
    <w:rsid w:val="005D36A7"/>
    <w:rsid w:val="005E28DC"/>
    <w:rsid w:val="005E3C9A"/>
    <w:rsid w:val="005F0026"/>
    <w:rsid w:val="005F6E5D"/>
    <w:rsid w:val="006061AF"/>
    <w:rsid w:val="0061393D"/>
    <w:rsid w:val="00614D46"/>
    <w:rsid w:val="00615557"/>
    <w:rsid w:val="00615AF8"/>
    <w:rsid w:val="00624145"/>
    <w:rsid w:val="006267D1"/>
    <w:rsid w:val="00633FF8"/>
    <w:rsid w:val="00644214"/>
    <w:rsid w:val="00646223"/>
    <w:rsid w:val="006544C0"/>
    <w:rsid w:val="00664F77"/>
    <w:rsid w:val="00667FC3"/>
    <w:rsid w:val="0067167E"/>
    <w:rsid w:val="006A3121"/>
    <w:rsid w:val="006A6F45"/>
    <w:rsid w:val="006B0E78"/>
    <w:rsid w:val="006C1F41"/>
    <w:rsid w:val="006C545C"/>
    <w:rsid w:val="006C6504"/>
    <w:rsid w:val="006D44DB"/>
    <w:rsid w:val="006D4C6E"/>
    <w:rsid w:val="006D4DBE"/>
    <w:rsid w:val="006E10A5"/>
    <w:rsid w:val="006E7090"/>
    <w:rsid w:val="006F04C0"/>
    <w:rsid w:val="006F2741"/>
    <w:rsid w:val="006F33EC"/>
    <w:rsid w:val="006F4949"/>
    <w:rsid w:val="00712CE1"/>
    <w:rsid w:val="007164A2"/>
    <w:rsid w:val="00717BED"/>
    <w:rsid w:val="00721A94"/>
    <w:rsid w:val="0072267B"/>
    <w:rsid w:val="00724C7F"/>
    <w:rsid w:val="00725916"/>
    <w:rsid w:val="00726461"/>
    <w:rsid w:val="00727520"/>
    <w:rsid w:val="00730CE8"/>
    <w:rsid w:val="007317BA"/>
    <w:rsid w:val="00731A6A"/>
    <w:rsid w:val="00740680"/>
    <w:rsid w:val="007416E8"/>
    <w:rsid w:val="00741E77"/>
    <w:rsid w:val="00745CC9"/>
    <w:rsid w:val="00747301"/>
    <w:rsid w:val="00756B77"/>
    <w:rsid w:val="00757F45"/>
    <w:rsid w:val="00761D8F"/>
    <w:rsid w:val="007625CC"/>
    <w:rsid w:val="0077300B"/>
    <w:rsid w:val="007736EF"/>
    <w:rsid w:val="00774BFF"/>
    <w:rsid w:val="0077665E"/>
    <w:rsid w:val="00776790"/>
    <w:rsid w:val="00777B49"/>
    <w:rsid w:val="00792DBC"/>
    <w:rsid w:val="007B15BE"/>
    <w:rsid w:val="007C1817"/>
    <w:rsid w:val="007C2A38"/>
    <w:rsid w:val="007C329A"/>
    <w:rsid w:val="007C6A6C"/>
    <w:rsid w:val="007C7BBE"/>
    <w:rsid w:val="007E616B"/>
    <w:rsid w:val="007F1B4D"/>
    <w:rsid w:val="00813D31"/>
    <w:rsid w:val="00814E92"/>
    <w:rsid w:val="00815421"/>
    <w:rsid w:val="0081610A"/>
    <w:rsid w:val="008166A0"/>
    <w:rsid w:val="00823554"/>
    <w:rsid w:val="00823CD2"/>
    <w:rsid w:val="0083102D"/>
    <w:rsid w:val="008333BC"/>
    <w:rsid w:val="00837235"/>
    <w:rsid w:val="00837B3A"/>
    <w:rsid w:val="00852EA5"/>
    <w:rsid w:val="00857790"/>
    <w:rsid w:val="008613C6"/>
    <w:rsid w:val="00862FEE"/>
    <w:rsid w:val="00871EBD"/>
    <w:rsid w:val="008742D2"/>
    <w:rsid w:val="0087521D"/>
    <w:rsid w:val="00881B7E"/>
    <w:rsid w:val="00885399"/>
    <w:rsid w:val="00886D95"/>
    <w:rsid w:val="00891921"/>
    <w:rsid w:val="00896B70"/>
    <w:rsid w:val="008A656C"/>
    <w:rsid w:val="008A6950"/>
    <w:rsid w:val="008B51FA"/>
    <w:rsid w:val="008C644A"/>
    <w:rsid w:val="008D222F"/>
    <w:rsid w:val="008E4484"/>
    <w:rsid w:val="008F7868"/>
    <w:rsid w:val="008F7AE3"/>
    <w:rsid w:val="00904CAD"/>
    <w:rsid w:val="00910C70"/>
    <w:rsid w:val="009110E0"/>
    <w:rsid w:val="009111E6"/>
    <w:rsid w:val="00913D56"/>
    <w:rsid w:val="00916814"/>
    <w:rsid w:val="009225AA"/>
    <w:rsid w:val="009245EB"/>
    <w:rsid w:val="00925496"/>
    <w:rsid w:val="00925FA8"/>
    <w:rsid w:val="0093067B"/>
    <w:rsid w:val="0094057D"/>
    <w:rsid w:val="00942C1F"/>
    <w:rsid w:val="00943A6D"/>
    <w:rsid w:val="009455E2"/>
    <w:rsid w:val="009464A6"/>
    <w:rsid w:val="00951F5F"/>
    <w:rsid w:val="00956846"/>
    <w:rsid w:val="00964429"/>
    <w:rsid w:val="00965B11"/>
    <w:rsid w:val="009711BE"/>
    <w:rsid w:val="009761E6"/>
    <w:rsid w:val="00981F6E"/>
    <w:rsid w:val="009832FE"/>
    <w:rsid w:val="009859E3"/>
    <w:rsid w:val="00991E06"/>
    <w:rsid w:val="009960D4"/>
    <w:rsid w:val="009B64AF"/>
    <w:rsid w:val="009C34C9"/>
    <w:rsid w:val="009C6E70"/>
    <w:rsid w:val="009D021B"/>
    <w:rsid w:val="009E3454"/>
    <w:rsid w:val="009E47A2"/>
    <w:rsid w:val="009F0B7E"/>
    <w:rsid w:val="00A012B9"/>
    <w:rsid w:val="00A01549"/>
    <w:rsid w:val="00A04071"/>
    <w:rsid w:val="00A116FA"/>
    <w:rsid w:val="00A1271F"/>
    <w:rsid w:val="00A26F23"/>
    <w:rsid w:val="00A343A6"/>
    <w:rsid w:val="00A516D4"/>
    <w:rsid w:val="00A54A1E"/>
    <w:rsid w:val="00A553D6"/>
    <w:rsid w:val="00A55EA9"/>
    <w:rsid w:val="00A71A47"/>
    <w:rsid w:val="00A72671"/>
    <w:rsid w:val="00A757F9"/>
    <w:rsid w:val="00A81E0D"/>
    <w:rsid w:val="00A846ED"/>
    <w:rsid w:val="00A916F8"/>
    <w:rsid w:val="00AA269A"/>
    <w:rsid w:val="00AA57B0"/>
    <w:rsid w:val="00AB09CA"/>
    <w:rsid w:val="00AC5267"/>
    <w:rsid w:val="00AD0295"/>
    <w:rsid w:val="00AD16EA"/>
    <w:rsid w:val="00AD6C74"/>
    <w:rsid w:val="00AF1216"/>
    <w:rsid w:val="00AF2591"/>
    <w:rsid w:val="00AF2783"/>
    <w:rsid w:val="00AF2AC2"/>
    <w:rsid w:val="00AF3849"/>
    <w:rsid w:val="00B04FF4"/>
    <w:rsid w:val="00B17C7F"/>
    <w:rsid w:val="00B21997"/>
    <w:rsid w:val="00B22092"/>
    <w:rsid w:val="00B31ADC"/>
    <w:rsid w:val="00B333B7"/>
    <w:rsid w:val="00B42924"/>
    <w:rsid w:val="00B4316B"/>
    <w:rsid w:val="00B51B90"/>
    <w:rsid w:val="00B6164F"/>
    <w:rsid w:val="00B6713C"/>
    <w:rsid w:val="00B82C16"/>
    <w:rsid w:val="00B85577"/>
    <w:rsid w:val="00B87DE1"/>
    <w:rsid w:val="00B94560"/>
    <w:rsid w:val="00B9654F"/>
    <w:rsid w:val="00BA34B6"/>
    <w:rsid w:val="00BA36B6"/>
    <w:rsid w:val="00BA3A63"/>
    <w:rsid w:val="00BB0F3E"/>
    <w:rsid w:val="00BB213C"/>
    <w:rsid w:val="00BB7480"/>
    <w:rsid w:val="00BD081D"/>
    <w:rsid w:val="00BE0027"/>
    <w:rsid w:val="00BF386F"/>
    <w:rsid w:val="00C02B13"/>
    <w:rsid w:val="00C107D6"/>
    <w:rsid w:val="00C140C9"/>
    <w:rsid w:val="00C15D98"/>
    <w:rsid w:val="00C16822"/>
    <w:rsid w:val="00C16888"/>
    <w:rsid w:val="00C20C67"/>
    <w:rsid w:val="00C24F33"/>
    <w:rsid w:val="00C266F9"/>
    <w:rsid w:val="00C31A3A"/>
    <w:rsid w:val="00C53FB1"/>
    <w:rsid w:val="00C61536"/>
    <w:rsid w:val="00C73A52"/>
    <w:rsid w:val="00C766A3"/>
    <w:rsid w:val="00C77770"/>
    <w:rsid w:val="00C83BFD"/>
    <w:rsid w:val="00C8536F"/>
    <w:rsid w:val="00C85CFA"/>
    <w:rsid w:val="00CA008C"/>
    <w:rsid w:val="00CA1D77"/>
    <w:rsid w:val="00CA53C0"/>
    <w:rsid w:val="00CA5FDC"/>
    <w:rsid w:val="00CB065D"/>
    <w:rsid w:val="00CB0B47"/>
    <w:rsid w:val="00CB2F1D"/>
    <w:rsid w:val="00CC0742"/>
    <w:rsid w:val="00CC377D"/>
    <w:rsid w:val="00CC6F96"/>
    <w:rsid w:val="00CD00CD"/>
    <w:rsid w:val="00CD3991"/>
    <w:rsid w:val="00CD45DB"/>
    <w:rsid w:val="00CE055F"/>
    <w:rsid w:val="00CE331A"/>
    <w:rsid w:val="00CF45B5"/>
    <w:rsid w:val="00D00AF5"/>
    <w:rsid w:val="00D0626A"/>
    <w:rsid w:val="00D10180"/>
    <w:rsid w:val="00D1487F"/>
    <w:rsid w:val="00D15BED"/>
    <w:rsid w:val="00D16BA0"/>
    <w:rsid w:val="00D20CE0"/>
    <w:rsid w:val="00D211B9"/>
    <w:rsid w:val="00D26682"/>
    <w:rsid w:val="00D30215"/>
    <w:rsid w:val="00D3316C"/>
    <w:rsid w:val="00D33EFC"/>
    <w:rsid w:val="00D43D5E"/>
    <w:rsid w:val="00D44DD7"/>
    <w:rsid w:val="00D469C5"/>
    <w:rsid w:val="00D51C1F"/>
    <w:rsid w:val="00D61A63"/>
    <w:rsid w:val="00D63D6F"/>
    <w:rsid w:val="00D666D3"/>
    <w:rsid w:val="00D67AEB"/>
    <w:rsid w:val="00D70723"/>
    <w:rsid w:val="00D70C9F"/>
    <w:rsid w:val="00D729F1"/>
    <w:rsid w:val="00D730AE"/>
    <w:rsid w:val="00D73C99"/>
    <w:rsid w:val="00D75A37"/>
    <w:rsid w:val="00D86912"/>
    <w:rsid w:val="00DA06A4"/>
    <w:rsid w:val="00DB340D"/>
    <w:rsid w:val="00DB40F1"/>
    <w:rsid w:val="00DD015F"/>
    <w:rsid w:val="00DD423E"/>
    <w:rsid w:val="00DD63C6"/>
    <w:rsid w:val="00DD7BD4"/>
    <w:rsid w:val="00DE632F"/>
    <w:rsid w:val="00DF460B"/>
    <w:rsid w:val="00DF67D2"/>
    <w:rsid w:val="00DF73FE"/>
    <w:rsid w:val="00E01823"/>
    <w:rsid w:val="00E1045C"/>
    <w:rsid w:val="00E24D1E"/>
    <w:rsid w:val="00E33C3C"/>
    <w:rsid w:val="00E36A0E"/>
    <w:rsid w:val="00E47004"/>
    <w:rsid w:val="00E47711"/>
    <w:rsid w:val="00E50F10"/>
    <w:rsid w:val="00E54B37"/>
    <w:rsid w:val="00E64D72"/>
    <w:rsid w:val="00E6748A"/>
    <w:rsid w:val="00E72682"/>
    <w:rsid w:val="00E833B3"/>
    <w:rsid w:val="00E87DD2"/>
    <w:rsid w:val="00E9030B"/>
    <w:rsid w:val="00E94092"/>
    <w:rsid w:val="00E9594B"/>
    <w:rsid w:val="00E95DA1"/>
    <w:rsid w:val="00EA141A"/>
    <w:rsid w:val="00EA1A2E"/>
    <w:rsid w:val="00EA1A96"/>
    <w:rsid w:val="00EB04B7"/>
    <w:rsid w:val="00EB121E"/>
    <w:rsid w:val="00EB59CE"/>
    <w:rsid w:val="00EC42B1"/>
    <w:rsid w:val="00EC6173"/>
    <w:rsid w:val="00EC6B5C"/>
    <w:rsid w:val="00EC797F"/>
    <w:rsid w:val="00EE58A6"/>
    <w:rsid w:val="00F001E1"/>
    <w:rsid w:val="00F11E6C"/>
    <w:rsid w:val="00F2472A"/>
    <w:rsid w:val="00F254A9"/>
    <w:rsid w:val="00F332C8"/>
    <w:rsid w:val="00F36287"/>
    <w:rsid w:val="00F375C3"/>
    <w:rsid w:val="00F42CFB"/>
    <w:rsid w:val="00F46950"/>
    <w:rsid w:val="00F545EE"/>
    <w:rsid w:val="00F651FE"/>
    <w:rsid w:val="00F6680A"/>
    <w:rsid w:val="00F66D95"/>
    <w:rsid w:val="00F736A0"/>
    <w:rsid w:val="00F7713E"/>
    <w:rsid w:val="00F947AE"/>
    <w:rsid w:val="00FA3245"/>
    <w:rsid w:val="00FA63F1"/>
    <w:rsid w:val="00FB1C8A"/>
    <w:rsid w:val="00FC76E7"/>
    <w:rsid w:val="00FD000F"/>
    <w:rsid w:val="00FD32B8"/>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100B74-F4A5-442C-B38C-300BDC4F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paragraph" w:styleId="Ttulo2">
    <w:name w:val="heading 2"/>
    <w:basedOn w:val="Normal"/>
    <w:next w:val="Normal"/>
    <w:link w:val="Ttulo2Char"/>
    <w:semiHidden/>
    <w:unhideWhenUsed/>
    <w:qFormat/>
    <w:locked/>
    <w:rsid w:val="00F332C8"/>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locked/>
    <w:rsid w:val="00F332C8"/>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Hyperlink">
    <w:name w:val="Hyperlink"/>
    <w:uiPriority w:val="99"/>
    <w:semiHidden/>
    <w:unhideWhenUsed/>
    <w:rsid w:val="004F65E1"/>
    <w:rPr>
      <w:color w:val="0000FF"/>
      <w:u w:val="single"/>
    </w:rPr>
  </w:style>
  <w:style w:type="character" w:customStyle="1" w:styleId="Ttulo2Char">
    <w:name w:val="Título 2 Char"/>
    <w:link w:val="Ttulo2"/>
    <w:semiHidden/>
    <w:rsid w:val="00F332C8"/>
    <w:rPr>
      <w:rFonts w:ascii="Cambria" w:eastAsia="Times New Roman" w:hAnsi="Cambria" w:cs="Times New Roman"/>
      <w:b/>
      <w:bCs/>
      <w:i/>
      <w:iCs/>
      <w:sz w:val="28"/>
      <w:szCs w:val="28"/>
    </w:rPr>
  </w:style>
  <w:style w:type="character" w:customStyle="1" w:styleId="Ttulo3Char">
    <w:name w:val="Título 3 Char"/>
    <w:link w:val="Ttulo3"/>
    <w:semiHidden/>
    <w:rsid w:val="00F332C8"/>
    <w:rPr>
      <w:rFonts w:ascii="Cambria" w:eastAsia="Times New Roman" w:hAnsi="Cambria" w:cs="Times New Roman"/>
      <w:b/>
      <w:bCs/>
      <w:sz w:val="26"/>
      <w:szCs w:val="26"/>
    </w:rPr>
  </w:style>
  <w:style w:type="paragraph" w:styleId="Ttulo">
    <w:name w:val="Title"/>
    <w:basedOn w:val="Normal"/>
    <w:link w:val="TtuloChar"/>
    <w:uiPriority w:val="10"/>
    <w:qFormat/>
    <w:locked/>
    <w:rsid w:val="00F332C8"/>
    <w:pPr>
      <w:spacing w:before="100" w:beforeAutospacing="1" w:after="100" w:afterAutospacing="1"/>
    </w:pPr>
    <w:rPr>
      <w:sz w:val="24"/>
      <w:szCs w:val="24"/>
    </w:rPr>
  </w:style>
  <w:style w:type="character" w:customStyle="1" w:styleId="TtuloChar">
    <w:name w:val="Título Char"/>
    <w:link w:val="Ttulo"/>
    <w:uiPriority w:val="10"/>
    <w:rsid w:val="00F332C8"/>
    <w:rPr>
      <w:rFonts w:ascii="Times New Roman" w:eastAsia="Times New Roman" w:hAnsi="Times New Roman"/>
      <w:sz w:val="24"/>
      <w:szCs w:val="24"/>
    </w:rPr>
  </w:style>
  <w:style w:type="table" w:styleId="Tabelacomgrade">
    <w:name w:val="Table Grid"/>
    <w:basedOn w:val="Tabelanormal"/>
    <w:locked/>
    <w:rsid w:val="00420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ontepargpadro"/>
    <w:rsid w:val="009B6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3175">
      <w:bodyDiv w:val="1"/>
      <w:marLeft w:val="0"/>
      <w:marRight w:val="0"/>
      <w:marTop w:val="0"/>
      <w:marBottom w:val="0"/>
      <w:divBdr>
        <w:top w:val="none" w:sz="0" w:space="0" w:color="auto"/>
        <w:left w:val="none" w:sz="0" w:space="0" w:color="auto"/>
        <w:bottom w:val="none" w:sz="0" w:space="0" w:color="auto"/>
        <w:right w:val="none" w:sz="0" w:space="0" w:color="auto"/>
      </w:divBdr>
    </w:div>
    <w:div w:id="292098640">
      <w:bodyDiv w:val="1"/>
      <w:marLeft w:val="0"/>
      <w:marRight w:val="0"/>
      <w:marTop w:val="0"/>
      <w:marBottom w:val="0"/>
      <w:divBdr>
        <w:top w:val="none" w:sz="0" w:space="0" w:color="auto"/>
        <w:left w:val="none" w:sz="0" w:space="0" w:color="auto"/>
        <w:bottom w:val="none" w:sz="0" w:space="0" w:color="auto"/>
        <w:right w:val="none" w:sz="0" w:space="0" w:color="auto"/>
      </w:divBdr>
    </w:div>
    <w:div w:id="320812692">
      <w:bodyDiv w:val="1"/>
      <w:marLeft w:val="0"/>
      <w:marRight w:val="0"/>
      <w:marTop w:val="0"/>
      <w:marBottom w:val="0"/>
      <w:divBdr>
        <w:top w:val="none" w:sz="0" w:space="0" w:color="auto"/>
        <w:left w:val="none" w:sz="0" w:space="0" w:color="auto"/>
        <w:bottom w:val="none" w:sz="0" w:space="0" w:color="auto"/>
        <w:right w:val="none" w:sz="0" w:space="0" w:color="auto"/>
      </w:divBdr>
    </w:div>
    <w:div w:id="75389301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020278079">
      <w:bodyDiv w:val="1"/>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36510723">
      <w:bodyDiv w:val="1"/>
      <w:marLeft w:val="0"/>
      <w:marRight w:val="0"/>
      <w:marTop w:val="0"/>
      <w:marBottom w:val="0"/>
      <w:divBdr>
        <w:top w:val="none" w:sz="0" w:space="0" w:color="auto"/>
        <w:left w:val="none" w:sz="0" w:space="0" w:color="auto"/>
        <w:bottom w:val="none" w:sz="0" w:space="0" w:color="auto"/>
        <w:right w:val="none" w:sz="0" w:space="0" w:color="auto"/>
      </w:divBdr>
    </w:div>
    <w:div w:id="1459564669">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20369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38580-D82C-4FFA-840B-970ED273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2613</Words>
  <Characters>14113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2019-07-10T13:44:00Z</cp:lastPrinted>
  <dcterms:created xsi:type="dcterms:W3CDTF">2020-02-18T20:56:00Z</dcterms:created>
  <dcterms:modified xsi:type="dcterms:W3CDTF">2020-02-18T20:56:00Z</dcterms:modified>
</cp:coreProperties>
</file>