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52/2020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R$ 346.196,51 (trezentos e quarenta e seis mil, cento e noventa e seis reais e cinquenta e um centavos), para investimentos em recapeamento asfáltico no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7E" w:rsidRDefault="00502E7E" w:rsidP="00126850">
      <w:pPr>
        <w:spacing w:line="240" w:lineRule="auto"/>
      </w:pPr>
      <w:r>
        <w:separator/>
      </w:r>
    </w:p>
  </w:endnote>
  <w:endnote w:type="continuationSeparator" w:id="0">
    <w:p w:rsidR="00502E7E" w:rsidRDefault="00502E7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17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17C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7E" w:rsidRDefault="00502E7E" w:rsidP="00126850">
      <w:pPr>
        <w:spacing w:line="240" w:lineRule="auto"/>
      </w:pPr>
      <w:r>
        <w:separator/>
      </w:r>
    </w:p>
  </w:footnote>
  <w:footnote w:type="continuationSeparator" w:id="0">
    <w:p w:rsidR="00502E7E" w:rsidRDefault="00502E7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17CA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2E7E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9AB6-EE91-483A-90B7-F4641936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2020-02-06T15:31:00Z</dcterms:modified>
</cp:coreProperties>
</file>