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R$ 632.400,00 (seiscentos e trinta e dois mil e quatrocentos reais), para atender a manutenção das Unidades Básicas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B35" w:rsidRDefault="00351B35" w:rsidP="00126850">
      <w:pPr>
        <w:spacing w:line="240" w:lineRule="auto"/>
      </w:pPr>
      <w:r>
        <w:separator/>
      </w:r>
    </w:p>
  </w:endnote>
  <w:endnote w:type="continuationSeparator" w:id="0">
    <w:p w:rsidR="00351B35" w:rsidRDefault="00351B3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96E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96E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B35" w:rsidRDefault="00351B35" w:rsidP="00126850">
      <w:pPr>
        <w:spacing w:line="240" w:lineRule="auto"/>
      </w:pPr>
      <w:r>
        <w:separator/>
      </w:r>
    </w:p>
  </w:footnote>
  <w:footnote w:type="continuationSeparator" w:id="0">
    <w:p w:rsidR="00351B35" w:rsidRDefault="00351B3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E36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1B35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F4BFE-53E1-452E-BA96-9212E2A6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2020-02-06T15:34:00Z</dcterms:modified>
</cp:coreProperties>
</file>