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R$ 276.760,87 (duzentos e setenta e seis mil, setecentos e sessenta reais e oitenta e sete centavos), para atender a manutenção das Unidades Básicas de Saúde,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EC" w:rsidRDefault="00D275EC" w:rsidP="00126850">
      <w:pPr>
        <w:spacing w:line="240" w:lineRule="auto"/>
      </w:pPr>
      <w:r>
        <w:separator/>
      </w:r>
    </w:p>
  </w:endnote>
  <w:endnote w:type="continuationSeparator" w:id="0">
    <w:p w:rsidR="00D275EC" w:rsidRDefault="00D275E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5731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5731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EC" w:rsidRDefault="00D275EC" w:rsidP="00126850">
      <w:pPr>
        <w:spacing w:line="240" w:lineRule="auto"/>
      </w:pPr>
      <w:r>
        <w:separator/>
      </w:r>
    </w:p>
  </w:footnote>
  <w:footnote w:type="continuationSeparator" w:id="0">
    <w:p w:rsidR="00D275EC" w:rsidRDefault="00D275E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7317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75EC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262D-BC59-4612-A704-194BC79F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2020-02-06T15:35:00Z</dcterms:modified>
</cp:coreProperties>
</file>