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R$ 276.760,87 (duzentos e setenta e seis mil, setecentos e sessenta reais e oitenta e sete centavos), para atender a manutenção das Unidades Básicas de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EC" w:rsidRDefault="00D275EC" w:rsidP="00126850">
      <w:pPr>
        <w:spacing w:line="240" w:lineRule="auto"/>
      </w:pPr>
      <w:r>
        <w:separator/>
      </w:r>
    </w:p>
  </w:endnote>
  <w:endnote w:type="continuationSeparator" w:id="0">
    <w:p w:rsidR="00D275EC" w:rsidRDefault="00D275E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573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573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EC" w:rsidRDefault="00D275EC" w:rsidP="00126850">
      <w:pPr>
        <w:spacing w:line="240" w:lineRule="auto"/>
      </w:pPr>
      <w:r>
        <w:separator/>
      </w:r>
    </w:p>
  </w:footnote>
  <w:footnote w:type="continuationSeparator" w:id="0">
    <w:p w:rsidR="00D275EC" w:rsidRDefault="00D275E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7317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75EC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262D-BC59-4612-A704-194BC79F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2020-02-06T15:35:00Z</dcterms:modified>
</cp:coreProperties>
</file>