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65/2020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48/2020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R$ 300.000,00 (trezentos mil reais), para atender as despesas com a assistência hospitalar e ambulatorial – repasse à Santa Casa de Araraquara,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7F0D" w:rsidRDefault="00957F0D" w:rsidP="00126850">
      <w:pPr>
        <w:spacing w:line="240" w:lineRule="auto"/>
      </w:pPr>
      <w:r>
        <w:separator/>
      </w:r>
    </w:p>
  </w:endnote>
  <w:endnote w:type="continuationSeparator" w:id="0">
    <w:p w:rsidR="00957F0D" w:rsidRDefault="00957F0D"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DD6637">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DD6637">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7F0D" w:rsidRDefault="00957F0D" w:rsidP="00126850">
      <w:pPr>
        <w:spacing w:line="240" w:lineRule="auto"/>
      </w:pPr>
      <w:r>
        <w:separator/>
      </w:r>
    </w:p>
  </w:footnote>
  <w:footnote w:type="continuationSeparator" w:id="0">
    <w:p w:rsidR="00957F0D" w:rsidRDefault="00957F0D"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57F0D"/>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63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1A315-65D3-424E-A271-711446244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992</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2020-02-06T15:29:00Z</dcterms:modified>
</cp:coreProperties>
</file>