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R$ 632.400,00 (seiscentos e trinta e dois mil e quatrocentos reais), para atender a manutenção das Unidades Básicas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7F9D" w:rsidRDefault="00CB7F9D" w:rsidP="00126850">
      <w:pPr>
        <w:spacing w:line="240" w:lineRule="auto"/>
      </w:pPr>
      <w:r>
        <w:separator/>
      </w:r>
    </w:p>
  </w:endnote>
  <w:endnote w:type="continuationSeparator" w:id="0">
    <w:p w:rsidR="00CB7F9D" w:rsidRDefault="00CB7F9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7129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7129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7F9D" w:rsidRDefault="00CB7F9D" w:rsidP="00126850">
      <w:pPr>
        <w:spacing w:line="240" w:lineRule="auto"/>
      </w:pPr>
      <w:r>
        <w:separator/>
      </w:r>
    </w:p>
  </w:footnote>
  <w:footnote w:type="continuationSeparator" w:id="0">
    <w:p w:rsidR="00CB7F9D" w:rsidRDefault="00CB7F9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B7F9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129D"/>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4B6DF-B975-4501-8F63-77F0B0DE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977</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2020-02-06T15:34:00Z</dcterms:modified>
</cp:coreProperties>
</file>