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56/2020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R$ 105.400,00 (cento e cinco mil e quatrocentos reais), para atender a manutenção das Unidades Básicas de Saúde,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B61" w:rsidRDefault="00FF5B61" w:rsidP="00126850">
      <w:pPr>
        <w:spacing w:line="240" w:lineRule="auto"/>
      </w:pPr>
      <w:r>
        <w:separator/>
      </w:r>
    </w:p>
  </w:endnote>
  <w:endnote w:type="continuationSeparator" w:id="0">
    <w:p w:rsidR="00FF5B61" w:rsidRDefault="00FF5B6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1458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1458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B61" w:rsidRDefault="00FF5B61" w:rsidP="00126850">
      <w:pPr>
        <w:spacing w:line="240" w:lineRule="auto"/>
      </w:pPr>
      <w:r>
        <w:separator/>
      </w:r>
    </w:p>
  </w:footnote>
  <w:footnote w:type="continuationSeparator" w:id="0">
    <w:p w:rsidR="00FF5B61" w:rsidRDefault="00FF5B6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4585"/>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 w:val="00FF5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E6664-7C99-4BC7-AC6D-A9C0EA67D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966</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2020-02-06T15:34:00Z</dcterms:modified>
</cp:coreProperties>
</file>