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R$ 276.760,87 (duzentos e setenta e seis mil, setecentos e sessenta reais e oitenta e sete centavos), para atender a manutenção das Unidades Básicas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ACB" w:rsidRDefault="00317ACB" w:rsidP="00126850">
      <w:pPr>
        <w:spacing w:line="240" w:lineRule="auto"/>
      </w:pPr>
      <w:r>
        <w:separator/>
      </w:r>
    </w:p>
  </w:endnote>
  <w:endnote w:type="continuationSeparator" w:id="0">
    <w:p w:rsidR="00317ACB" w:rsidRDefault="00317AC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145D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145D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ACB" w:rsidRDefault="00317ACB" w:rsidP="00126850">
      <w:pPr>
        <w:spacing w:line="240" w:lineRule="auto"/>
      </w:pPr>
      <w:r>
        <w:separator/>
      </w:r>
    </w:p>
  </w:footnote>
  <w:footnote w:type="continuationSeparator" w:id="0">
    <w:p w:rsidR="00317ACB" w:rsidRDefault="00317AC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ACB"/>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5D3"/>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A339C-E9A9-4C27-9744-2BDB68E5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2020-02-06T15:35:00Z</dcterms:modified>
</cp:coreProperties>
</file>