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R$ 100.000,00 (cem mil reais), à entidade Sociedade Amigos do Bairro de Santa Angelina, para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B2" w:rsidRDefault="003647B2" w:rsidP="00126850">
      <w:pPr>
        <w:spacing w:line="240" w:lineRule="auto"/>
      </w:pPr>
      <w:r>
        <w:separator/>
      </w:r>
    </w:p>
  </w:endnote>
  <w:endnote w:type="continuationSeparator" w:id="0">
    <w:p w:rsidR="003647B2" w:rsidRDefault="003647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38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38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B2" w:rsidRDefault="003647B2" w:rsidP="00126850">
      <w:pPr>
        <w:spacing w:line="240" w:lineRule="auto"/>
      </w:pPr>
      <w:r>
        <w:separator/>
      </w:r>
    </w:p>
  </w:footnote>
  <w:footnote w:type="continuationSeparator" w:id="0">
    <w:p w:rsidR="003647B2" w:rsidRDefault="003647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3834"/>
    <w:rsid w:val="003345C9"/>
    <w:rsid w:val="00344FD9"/>
    <w:rsid w:val="003535BF"/>
    <w:rsid w:val="003647B2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39FFE-0D62-4704-BB7B-E0DB4E67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2020-02-06T15:32:00Z</dcterms:modified>
</cp:coreProperties>
</file>