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JULIANA ANDRIÃO DAMUS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Denomina Rua Victória Carolina de Almeida a via pública da sede do Município conhecida como Rua "A" do loteamento Residencial Monte Carlo, com início na propriedade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Fuad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Haddad, Samira Haddad 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Lais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Dagli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Haddad e término na Avenida “J”, deste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E30" w:rsidRDefault="00AF1E30" w:rsidP="00126850">
      <w:pPr>
        <w:spacing w:line="240" w:lineRule="auto"/>
      </w:pPr>
      <w:r>
        <w:separator/>
      </w:r>
    </w:p>
  </w:endnote>
  <w:endnote w:type="continuationSeparator" w:id="0">
    <w:p w:rsidR="00AF1E30" w:rsidRDefault="00AF1E3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46F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46F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E30" w:rsidRDefault="00AF1E30" w:rsidP="00126850">
      <w:pPr>
        <w:spacing w:line="240" w:lineRule="auto"/>
      </w:pPr>
      <w:r>
        <w:separator/>
      </w:r>
    </w:p>
  </w:footnote>
  <w:footnote w:type="continuationSeparator" w:id="0">
    <w:p w:rsidR="00AF1E30" w:rsidRDefault="00AF1E3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1E30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6FC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DF871-8529-4730-8E07-C985C734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2020-02-06T12:08:00Z</dcterms:modified>
</cp:coreProperties>
</file>