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A7777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F04E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E027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41F7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E94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5009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EE6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C109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CB95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DD8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F794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96B7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69E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1BE4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E25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7E1B90">
        <w:rPr>
          <w:rFonts w:ascii="Calibri" w:eastAsia="Arial Unicode MS" w:hAnsi="Calibri" w:cs="Calibri"/>
          <w:b/>
          <w:sz w:val="24"/>
          <w:szCs w:val="24"/>
        </w:rPr>
        <w:t>40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16041">
        <w:rPr>
          <w:rFonts w:ascii="Calibri" w:eastAsia="Arial Unicode MS" w:hAnsi="Calibri" w:cs="Calibri"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A68BE">
        <w:rPr>
          <w:rFonts w:ascii="Calibri" w:eastAsia="Arial Unicode MS" w:hAnsi="Calibri" w:cs="Calibri"/>
          <w:sz w:val="24"/>
          <w:szCs w:val="24"/>
        </w:rPr>
        <w:t>fever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B2832" w:rsidRDefault="00CC04DE" w:rsidP="00CE5E8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incluso Projeto de Lei </w:t>
      </w:r>
      <w:r w:rsidR="009E7EEA">
        <w:rPr>
          <w:rFonts w:asciiTheme="minorHAnsi" w:hAnsiTheme="minorHAnsi" w:cs="Calibri"/>
          <w:color w:val="000000"/>
          <w:sz w:val="24"/>
          <w:szCs w:val="24"/>
        </w:rPr>
        <w:t xml:space="preserve">Complementar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que</w:t>
      </w:r>
      <w:r w:rsidR="00077CDA">
        <w:rPr>
          <w:rFonts w:asciiTheme="minorHAnsi" w:hAnsiTheme="minorHAnsi" w:cs="Calibri"/>
          <w:color w:val="000000"/>
          <w:sz w:val="24"/>
          <w:szCs w:val="24"/>
        </w:rPr>
        <w:t xml:space="preserve"> a</w:t>
      </w:r>
      <w:r w:rsidR="00077CDA" w:rsidRPr="00077CDA">
        <w:rPr>
          <w:rFonts w:asciiTheme="minorHAnsi" w:hAnsiTheme="minorHAnsi" w:cs="Calibri"/>
          <w:color w:val="000000"/>
          <w:sz w:val="24"/>
          <w:szCs w:val="24"/>
        </w:rPr>
        <w:t>ltera a Lei Complementar nº 911, de 26 de agosto de 2019, acrescendo imóveis a serem utilizados no Programa Habitacional Organização de Construção da Autogestão (OCA).</w:t>
      </w:r>
    </w:p>
    <w:p w:rsidR="0083717E" w:rsidRDefault="00077CDA" w:rsidP="00CE5E8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justifica-se a presente propositura na medida em que, após estudos realizados pela Secretaria Municipal de Desenvolvimento Urbano, logrou-se encontrar mais </w:t>
      </w:r>
      <w:r w:rsidR="0083717E">
        <w:rPr>
          <w:rFonts w:asciiTheme="minorHAnsi" w:hAnsiTheme="minorHAnsi" w:cs="Calibri"/>
          <w:color w:val="000000"/>
          <w:sz w:val="24"/>
          <w:szCs w:val="24"/>
        </w:rPr>
        <w:t xml:space="preserve">imóveis </w:t>
      </w:r>
      <w:r>
        <w:rPr>
          <w:rFonts w:asciiTheme="minorHAnsi" w:hAnsiTheme="minorHAnsi" w:cs="Calibri"/>
          <w:color w:val="000000"/>
          <w:sz w:val="24"/>
          <w:szCs w:val="24"/>
        </w:rPr>
        <w:t>do Município p</w:t>
      </w:r>
      <w:r w:rsidR="0083717E">
        <w:rPr>
          <w:rFonts w:asciiTheme="minorHAnsi" w:hAnsiTheme="minorHAnsi" w:cs="Calibri"/>
          <w:color w:val="000000"/>
          <w:sz w:val="24"/>
          <w:szCs w:val="24"/>
        </w:rPr>
        <w:t>assíveis de utilização no OCA.</w:t>
      </w:r>
    </w:p>
    <w:p w:rsidR="00077CDA" w:rsidRPr="003859C3" w:rsidRDefault="0083717E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</w:t>
      </w:r>
      <w:r w:rsidR="00077CDA">
        <w:rPr>
          <w:rFonts w:asciiTheme="minorHAnsi" w:hAnsiTheme="minorHAnsi" w:cs="Calibri"/>
          <w:color w:val="000000"/>
          <w:sz w:val="24"/>
          <w:szCs w:val="24"/>
        </w:rPr>
        <w:t xml:space="preserve">estaca-se desde já que inexistem quaisquer impeditivos ou ônus que impossibilitem, jurídica ou factualmente, a utilização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de tais imóveis </w:t>
      </w:r>
      <w:r w:rsidR="00077CDA">
        <w:rPr>
          <w:rFonts w:asciiTheme="minorHAnsi" w:hAnsiTheme="minorHAnsi" w:cs="Calibri"/>
          <w:color w:val="000000"/>
          <w:sz w:val="24"/>
          <w:szCs w:val="24"/>
        </w:rPr>
        <w:t>em conformidade com citado programa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. Em específico, conforme croquis de localização anexos, todas as regiões em que se encontram referidos imóveis estão suficientemente guarnecidas com equipamentos públicos e de lazer – ressaltando-se desde já que a utilização de tais imóveis pelo OCA não gerará acréscimo de demanda não suportável por estes mesmos equipamentos. </w:t>
      </w:r>
    </w:p>
    <w:p w:rsidR="00CC04DE" w:rsidRPr="00BE4DA8" w:rsidRDefault="00CC04DE" w:rsidP="001F630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 xml:space="preserve">ue o Projeto de Lei </w:t>
      </w:r>
      <w:r w:rsidR="009E7EEA">
        <w:rPr>
          <w:rFonts w:ascii="Calibri" w:hAnsi="Calibri" w:cs="Calibri"/>
          <w:sz w:val="24"/>
          <w:szCs w:val="24"/>
        </w:rPr>
        <w:t xml:space="preserve">Complementar </w:t>
      </w:r>
      <w:r w:rsidR="005A64B5">
        <w:rPr>
          <w:rFonts w:ascii="Calibri" w:hAnsi="Calibri" w:cs="Calibri"/>
          <w:sz w:val="24"/>
          <w:szCs w:val="24"/>
        </w:rPr>
        <w:t>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</w:t>
      </w:r>
      <w:r w:rsidR="009E7EEA">
        <w:rPr>
          <w:rFonts w:ascii="Calibri" w:hAnsi="Calibri" w:cs="Calibri"/>
          <w:b/>
          <w:sz w:val="24"/>
          <w:szCs w:val="24"/>
        </w:rPr>
        <w:t xml:space="preserve"> COMPLEMENTAR</w:t>
      </w:r>
      <w:r w:rsidR="00CC04DE" w:rsidRPr="00A82693">
        <w:rPr>
          <w:rFonts w:ascii="Calibri" w:hAnsi="Calibri" w:cs="Calibri"/>
          <w:b/>
          <w:sz w:val="24"/>
          <w:szCs w:val="24"/>
        </w:rPr>
        <w:t xml:space="preserve">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16041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Lei Complementar nº 911, de 26 de agosto de 2019, acrescendo imóveis a serem utilizados no </w:t>
      </w:r>
      <w:r w:rsidRPr="00A16041">
        <w:rPr>
          <w:rFonts w:ascii="Calibri" w:hAnsi="Calibri" w:cs="Calibri"/>
          <w:sz w:val="22"/>
          <w:szCs w:val="22"/>
        </w:rPr>
        <w:t>Programa Habitacional Organização de Construção da Autogestão (OCA)</w:t>
      </w:r>
      <w:r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131E5" w:rsidRDefault="00CC04DE" w:rsidP="009E7EE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9E7EEA">
        <w:rPr>
          <w:rFonts w:ascii="Calibri" w:hAnsi="Calibri"/>
          <w:sz w:val="24"/>
          <w:szCs w:val="24"/>
        </w:rPr>
        <w:t xml:space="preserve">O Anexo </w:t>
      </w:r>
      <w:proofErr w:type="spellStart"/>
      <w:r w:rsidR="009E7EEA">
        <w:rPr>
          <w:rFonts w:ascii="Calibri" w:hAnsi="Calibri"/>
          <w:sz w:val="24"/>
          <w:szCs w:val="24"/>
        </w:rPr>
        <w:t>Único-A</w:t>
      </w:r>
      <w:proofErr w:type="spellEnd"/>
      <w:r w:rsidR="009E7EEA">
        <w:rPr>
          <w:rFonts w:ascii="Calibri" w:hAnsi="Calibri"/>
          <w:sz w:val="24"/>
          <w:szCs w:val="24"/>
        </w:rPr>
        <w:t xml:space="preserve"> da Lei Complementar nº 911, de 26 de agosto de 2019, passa a vigorar com as seguintes alterações:</w:t>
      </w:r>
    </w:p>
    <w:p w:rsidR="00AB24B3" w:rsidRPr="00AB24B3" w:rsidRDefault="00AB24B3" w:rsidP="00AB24B3">
      <w:pPr>
        <w:spacing w:before="120" w:after="120"/>
        <w:jc w:val="center"/>
        <w:rPr>
          <w:rFonts w:ascii="Calibri" w:hAnsi="Calibri"/>
          <w:sz w:val="22"/>
          <w:szCs w:val="24"/>
        </w:rPr>
      </w:pPr>
      <w:r w:rsidRPr="00AB24B3">
        <w:rPr>
          <w:rFonts w:ascii="Calibri" w:hAnsi="Calibri"/>
          <w:sz w:val="22"/>
          <w:szCs w:val="24"/>
        </w:rPr>
        <w:t xml:space="preserve">“Anexo </w:t>
      </w:r>
      <w:proofErr w:type="spellStart"/>
      <w:r w:rsidRPr="00AB24B3">
        <w:rPr>
          <w:rFonts w:ascii="Calibri" w:hAnsi="Calibri"/>
          <w:sz w:val="22"/>
          <w:szCs w:val="24"/>
        </w:rPr>
        <w:t>Único-A</w:t>
      </w:r>
      <w:proofErr w:type="spellEnd"/>
    </w:p>
    <w:p w:rsidR="00AB24B3" w:rsidRPr="00AB24B3" w:rsidRDefault="00AB24B3" w:rsidP="00AB24B3">
      <w:pPr>
        <w:spacing w:before="120" w:after="120"/>
        <w:jc w:val="center"/>
        <w:rPr>
          <w:rFonts w:ascii="Calibri" w:hAnsi="Calibri"/>
          <w:sz w:val="22"/>
          <w:szCs w:val="24"/>
        </w:rPr>
      </w:pPr>
      <w:r w:rsidRPr="00AB24B3">
        <w:rPr>
          <w:rFonts w:ascii="Calibri" w:hAnsi="Calibri"/>
          <w:sz w:val="22"/>
          <w:szCs w:val="24"/>
        </w:rPr>
        <w:t>Imóveis para concessão</w:t>
      </w: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4246"/>
        <w:gridCol w:w="360"/>
        <w:gridCol w:w="355"/>
      </w:tblGrid>
      <w:tr w:rsidR="00AB24B3" w:rsidRPr="00AB24B3" w:rsidTr="00077CDA">
        <w:tc>
          <w:tcPr>
            <w:tcW w:w="846" w:type="dxa"/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2551" w:type="dxa"/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B24B3">
              <w:rPr>
                <w:rFonts w:ascii="Calibri" w:hAnsi="Calibri"/>
                <w:b/>
                <w:szCs w:val="24"/>
              </w:rPr>
              <w:t>LOCALIZAÇÃO</w:t>
            </w:r>
          </w:p>
        </w:tc>
        <w:tc>
          <w:tcPr>
            <w:tcW w:w="1418" w:type="dxa"/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B24B3">
              <w:rPr>
                <w:rFonts w:ascii="Calibri" w:hAnsi="Calibri"/>
                <w:b/>
                <w:szCs w:val="24"/>
              </w:rPr>
              <w:t xml:space="preserve">MATRÍCULA 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B24B3">
              <w:rPr>
                <w:rFonts w:ascii="Calibri" w:hAnsi="Calibri"/>
                <w:b/>
                <w:szCs w:val="24"/>
              </w:rPr>
              <w:t>ÁREA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AB24B3" w:rsidRPr="00AB24B3" w:rsidTr="00077CDA">
        <w:trPr>
          <w:gridAfter w:val="1"/>
          <w:wAfter w:w="355" w:type="dxa"/>
        </w:trPr>
        <w:tc>
          <w:tcPr>
            <w:tcW w:w="846" w:type="dxa"/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...........</w:t>
            </w:r>
          </w:p>
        </w:tc>
        <w:tc>
          <w:tcPr>
            <w:tcW w:w="2551" w:type="dxa"/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......................................</w:t>
            </w:r>
            <w:r w:rsidR="00077CDA">
              <w:rPr>
                <w:rFonts w:ascii="Calibri" w:hAnsi="Calibri"/>
                <w:szCs w:val="24"/>
              </w:rPr>
              <w:t>..</w:t>
            </w:r>
            <w:r w:rsidRPr="00AB24B3">
              <w:rPr>
                <w:rFonts w:ascii="Calibri" w:hAnsi="Calibri"/>
                <w:szCs w:val="24"/>
              </w:rPr>
              <w:t>..</w:t>
            </w:r>
          </w:p>
        </w:tc>
        <w:tc>
          <w:tcPr>
            <w:tcW w:w="1418" w:type="dxa"/>
          </w:tcPr>
          <w:p w:rsidR="00AB24B3" w:rsidRPr="00AB24B3" w:rsidRDefault="00077CDA" w:rsidP="009E7EEA">
            <w:pPr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..</w:t>
            </w:r>
            <w:r w:rsidR="00AB24B3" w:rsidRPr="00AB24B3">
              <w:rPr>
                <w:rFonts w:ascii="Calibri" w:hAnsi="Calibri"/>
                <w:szCs w:val="24"/>
              </w:rPr>
              <w:t>...................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..............................................................</w:t>
            </w:r>
            <w:r w:rsidR="00077CDA">
              <w:rPr>
                <w:rFonts w:ascii="Calibri" w:hAnsi="Calibri"/>
                <w:szCs w:val="24"/>
              </w:rPr>
              <w:t>..........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077CDA" w:rsidRPr="00AB24B3" w:rsidTr="00077CDA">
        <w:tc>
          <w:tcPr>
            <w:tcW w:w="846" w:type="dxa"/>
          </w:tcPr>
          <w:p w:rsidR="00077CDA" w:rsidRPr="00AB24B3" w:rsidRDefault="00077CDA" w:rsidP="00D67476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 xml:space="preserve">XXXI - </w:t>
            </w:r>
          </w:p>
        </w:tc>
        <w:tc>
          <w:tcPr>
            <w:tcW w:w="2551" w:type="dxa"/>
          </w:tcPr>
          <w:p w:rsidR="00077CDA" w:rsidRPr="00AB24B3" w:rsidRDefault="00077CDA" w:rsidP="00077CDA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 xml:space="preserve">Avenida Mario </w:t>
            </w:r>
            <w:proofErr w:type="spellStart"/>
            <w:r w:rsidRPr="00AB24B3">
              <w:rPr>
                <w:rFonts w:ascii="Calibri" w:hAnsi="Calibri"/>
                <w:szCs w:val="24"/>
              </w:rPr>
              <w:t>Posseti</w:t>
            </w:r>
            <w:proofErr w:type="spellEnd"/>
            <w:r w:rsidRPr="00AB24B3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77CDA" w:rsidRPr="00AB24B3" w:rsidRDefault="00077CDA" w:rsidP="00077CDA">
            <w:pPr>
              <w:jc w:val="center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44.707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077CDA" w:rsidRPr="00AB24B3" w:rsidRDefault="00077CDA" w:rsidP="00077CDA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10.499,00 m² (dez mil quatrocentos e noventa e nove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CDA" w:rsidRPr="00AB24B3" w:rsidRDefault="00077CDA" w:rsidP="00077CDA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AB24B3" w:rsidRPr="00AB24B3" w:rsidTr="00077CDA">
        <w:tc>
          <w:tcPr>
            <w:tcW w:w="846" w:type="dxa"/>
          </w:tcPr>
          <w:p w:rsidR="00AB24B3" w:rsidRPr="00AB24B3" w:rsidRDefault="00AB24B3" w:rsidP="00D67476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XXXI</w:t>
            </w:r>
            <w:r w:rsidR="00077CDA">
              <w:rPr>
                <w:rFonts w:ascii="Calibri" w:hAnsi="Calibri"/>
                <w:szCs w:val="24"/>
              </w:rPr>
              <w:t>I</w:t>
            </w:r>
            <w:r w:rsidRPr="00AB24B3">
              <w:rPr>
                <w:rFonts w:ascii="Calibri" w:hAnsi="Calibri"/>
                <w:szCs w:val="24"/>
              </w:rPr>
              <w:t xml:space="preserve"> - </w:t>
            </w:r>
          </w:p>
        </w:tc>
        <w:tc>
          <w:tcPr>
            <w:tcW w:w="2551" w:type="dxa"/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 xml:space="preserve">Rua </w:t>
            </w:r>
            <w:proofErr w:type="spellStart"/>
            <w:r w:rsidRPr="00AB24B3">
              <w:rPr>
                <w:rFonts w:ascii="Calibri" w:hAnsi="Calibri"/>
                <w:szCs w:val="24"/>
              </w:rPr>
              <w:t>Olivio</w:t>
            </w:r>
            <w:proofErr w:type="spellEnd"/>
            <w:r w:rsidRPr="00AB24B3">
              <w:rPr>
                <w:rFonts w:ascii="Calibri" w:hAnsi="Calibri"/>
                <w:szCs w:val="24"/>
              </w:rPr>
              <w:t xml:space="preserve"> Gomes da Silva</w:t>
            </w:r>
          </w:p>
        </w:tc>
        <w:tc>
          <w:tcPr>
            <w:tcW w:w="1418" w:type="dxa"/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80.162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18.742,62 m² (dezoito mil setecentos e quarenta e dois inteiros e sessenta e dois centésimos de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AB24B3" w:rsidRPr="00AB24B3" w:rsidTr="00077CDA">
        <w:tc>
          <w:tcPr>
            <w:tcW w:w="846" w:type="dxa"/>
          </w:tcPr>
          <w:p w:rsidR="00AB24B3" w:rsidRPr="00AB24B3" w:rsidRDefault="00077CDA" w:rsidP="00D67476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XXXI</w:t>
            </w:r>
            <w:r w:rsidR="00D67476">
              <w:rPr>
                <w:rFonts w:ascii="Calibri" w:hAnsi="Calibri"/>
                <w:szCs w:val="24"/>
              </w:rPr>
              <w:t>II</w:t>
            </w:r>
            <w:r w:rsidR="00AB24B3" w:rsidRPr="00AB24B3">
              <w:rPr>
                <w:rFonts w:ascii="Calibri" w:hAnsi="Calibri"/>
                <w:szCs w:val="24"/>
              </w:rPr>
              <w:t xml:space="preserve"> -</w:t>
            </w:r>
          </w:p>
        </w:tc>
        <w:tc>
          <w:tcPr>
            <w:tcW w:w="2551" w:type="dxa"/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Rua Doutor Moacir Porto</w:t>
            </w:r>
          </w:p>
        </w:tc>
        <w:tc>
          <w:tcPr>
            <w:tcW w:w="1418" w:type="dxa"/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79.625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13.042,38 m</w:t>
            </w:r>
            <w:proofErr w:type="gramStart"/>
            <w:r w:rsidRPr="00AB24B3">
              <w:rPr>
                <w:rFonts w:ascii="Calibri" w:hAnsi="Calibri"/>
                <w:szCs w:val="24"/>
              </w:rPr>
              <w:t>²(</w:t>
            </w:r>
            <w:proofErr w:type="gramEnd"/>
            <w:r w:rsidRPr="00AB24B3">
              <w:rPr>
                <w:rFonts w:ascii="Calibri" w:hAnsi="Calibri"/>
                <w:szCs w:val="24"/>
              </w:rPr>
              <w:t>treze mil e quarenta e dois inteiros e trinta e oito centésimos de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AB24B3" w:rsidRPr="00AB24B3" w:rsidTr="00077CDA">
        <w:tc>
          <w:tcPr>
            <w:tcW w:w="846" w:type="dxa"/>
          </w:tcPr>
          <w:p w:rsidR="00AB24B3" w:rsidRPr="00AB24B3" w:rsidRDefault="00077CDA" w:rsidP="006F577F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XXX</w:t>
            </w:r>
            <w:r w:rsidR="00D67476">
              <w:rPr>
                <w:rFonts w:ascii="Calibri" w:hAnsi="Calibri"/>
                <w:szCs w:val="24"/>
              </w:rPr>
              <w:t>I</w:t>
            </w:r>
            <w:r w:rsidR="00AB24B3" w:rsidRPr="00AB24B3">
              <w:rPr>
                <w:rFonts w:ascii="Calibri" w:hAnsi="Calibri"/>
                <w:szCs w:val="24"/>
              </w:rPr>
              <w:t xml:space="preserve">V - </w:t>
            </w:r>
          </w:p>
        </w:tc>
        <w:tc>
          <w:tcPr>
            <w:tcW w:w="2551" w:type="dxa"/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 xml:space="preserve">Avenida </w:t>
            </w:r>
            <w:proofErr w:type="spellStart"/>
            <w:r w:rsidRPr="00AB24B3">
              <w:rPr>
                <w:rFonts w:ascii="Calibri" w:hAnsi="Calibri"/>
                <w:szCs w:val="24"/>
              </w:rPr>
              <w:t>Jocelyn</w:t>
            </w:r>
            <w:proofErr w:type="spellEnd"/>
            <w:r w:rsidRPr="00AB24B3">
              <w:rPr>
                <w:rFonts w:ascii="Calibri" w:hAnsi="Calibri"/>
                <w:szCs w:val="24"/>
              </w:rPr>
              <w:t xml:space="preserve"> Machado</w:t>
            </w:r>
          </w:p>
        </w:tc>
        <w:tc>
          <w:tcPr>
            <w:tcW w:w="1418" w:type="dxa"/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36.654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402,00 m² (quatrocentos e dois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AB24B3" w:rsidRPr="00AB24B3" w:rsidTr="00077CDA">
        <w:tc>
          <w:tcPr>
            <w:tcW w:w="846" w:type="dxa"/>
          </w:tcPr>
          <w:p w:rsidR="00AB24B3" w:rsidRPr="00AB24B3" w:rsidRDefault="00AB24B3" w:rsidP="00D67476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 xml:space="preserve">XXXV - </w:t>
            </w:r>
          </w:p>
        </w:tc>
        <w:tc>
          <w:tcPr>
            <w:tcW w:w="2551" w:type="dxa"/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Avenida Gaspar Pierobon</w:t>
            </w:r>
          </w:p>
        </w:tc>
        <w:tc>
          <w:tcPr>
            <w:tcW w:w="1418" w:type="dxa"/>
          </w:tcPr>
          <w:p w:rsidR="00AB24B3" w:rsidRPr="00AB24B3" w:rsidRDefault="00AB24B3" w:rsidP="009E7EEA">
            <w:pPr>
              <w:jc w:val="center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108.341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AB24B3" w:rsidRPr="00AB24B3" w:rsidRDefault="00AB24B3" w:rsidP="006F577F">
            <w:pPr>
              <w:jc w:val="both"/>
              <w:rPr>
                <w:rFonts w:ascii="Calibri" w:hAnsi="Calibri"/>
                <w:szCs w:val="24"/>
              </w:rPr>
            </w:pPr>
            <w:r w:rsidRPr="00AB24B3">
              <w:rPr>
                <w:rFonts w:ascii="Calibri" w:hAnsi="Calibri"/>
                <w:szCs w:val="24"/>
              </w:rPr>
              <w:t>739,10 m² (setecentos e trinta e nove inteiros e um décimo de metros quadrados)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24B3" w:rsidRPr="00AB24B3" w:rsidRDefault="00AB24B3" w:rsidP="00AB24B3">
            <w:pPr>
              <w:ind w:hanging="102"/>
              <w:jc w:val="both"/>
              <w:rPr>
                <w:rFonts w:ascii="Calibri" w:hAnsi="Calibri"/>
                <w:szCs w:val="24"/>
              </w:rPr>
            </w:pPr>
            <w:proofErr w:type="gramStart"/>
            <w:r>
              <w:rPr>
                <w:rFonts w:ascii="Calibri" w:hAnsi="Calibri"/>
                <w:szCs w:val="24"/>
              </w:rPr>
              <w:t>”(</w:t>
            </w:r>
            <w:proofErr w:type="gramEnd"/>
            <w:r>
              <w:rPr>
                <w:rFonts w:ascii="Calibri" w:hAnsi="Calibri"/>
                <w:szCs w:val="24"/>
              </w:rPr>
              <w:t>NR)</w:t>
            </w:r>
          </w:p>
        </w:tc>
      </w:tr>
    </w:tbl>
    <w:p w:rsidR="00CC04DE" w:rsidRPr="00A82693" w:rsidRDefault="00AB24B3" w:rsidP="00AB24B3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CC04DE" w:rsidRPr="00A82693">
        <w:rPr>
          <w:rFonts w:ascii="Calibri" w:hAnsi="Calibri" w:cs="Calibri"/>
          <w:bCs/>
          <w:sz w:val="24"/>
          <w:szCs w:val="24"/>
        </w:rPr>
        <w:t xml:space="preserve">Art. </w:t>
      </w:r>
      <w:r>
        <w:rPr>
          <w:rFonts w:ascii="Calibri" w:hAnsi="Calibri" w:cs="Calibri"/>
          <w:bCs/>
          <w:sz w:val="24"/>
          <w:szCs w:val="24"/>
        </w:rPr>
        <w:t>2</w:t>
      </w:r>
      <w:r w:rsidR="00CC04DE"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CC04DE" w:rsidRPr="00A82693">
        <w:rPr>
          <w:rFonts w:ascii="Calibri" w:hAnsi="Calibri" w:cs="Calibri"/>
          <w:sz w:val="24"/>
          <w:szCs w:val="24"/>
        </w:rPr>
        <w:t xml:space="preserve">Esta lei </w:t>
      </w:r>
      <w:r>
        <w:rPr>
          <w:rFonts w:ascii="Calibri" w:hAnsi="Calibri" w:cs="Calibri"/>
          <w:sz w:val="24"/>
          <w:szCs w:val="24"/>
        </w:rPr>
        <w:t xml:space="preserve">complementar </w:t>
      </w:r>
      <w:r w:rsidR="00CC04DE" w:rsidRPr="00A82693">
        <w:rPr>
          <w:rFonts w:ascii="Calibri" w:hAnsi="Calibri" w:cs="Calibri"/>
          <w:sz w:val="24"/>
          <w:szCs w:val="24"/>
        </w:rPr>
        <w:t>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A16041">
        <w:rPr>
          <w:rFonts w:ascii="Calibri" w:hAnsi="Calibri"/>
          <w:sz w:val="24"/>
          <w:szCs w:val="24"/>
        </w:rPr>
        <w:t>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A68BE">
        <w:rPr>
          <w:rFonts w:ascii="Calibri" w:hAnsi="Calibri"/>
          <w:sz w:val="24"/>
          <w:szCs w:val="24"/>
        </w:rPr>
        <w:t>fever</w:t>
      </w:r>
      <w:r w:rsidR="00626A0F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79" w:rsidRDefault="00767D79" w:rsidP="008166A0">
      <w:r>
        <w:separator/>
      </w:r>
    </w:p>
  </w:endnote>
  <w:endnote w:type="continuationSeparator" w:id="0">
    <w:p w:rsidR="00767D79" w:rsidRDefault="00767D7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C3" w:rsidRPr="00E42A39" w:rsidRDefault="003859C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6032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60326" w:rsidRPr="00E42A39">
      <w:rPr>
        <w:rFonts w:ascii="Calibri" w:hAnsi="Calibri"/>
        <w:b/>
        <w:bCs/>
        <w:sz w:val="24"/>
        <w:szCs w:val="24"/>
      </w:rPr>
      <w:fldChar w:fldCharType="separate"/>
    </w:r>
    <w:r w:rsidR="001626A2">
      <w:rPr>
        <w:rFonts w:ascii="Calibri" w:hAnsi="Calibri"/>
        <w:b/>
        <w:bCs/>
        <w:noProof/>
      </w:rPr>
      <w:t>2</w:t>
    </w:r>
    <w:r w:rsidR="0026032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6032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60326" w:rsidRPr="00E42A39">
      <w:rPr>
        <w:rFonts w:ascii="Calibri" w:hAnsi="Calibri"/>
        <w:b/>
        <w:bCs/>
        <w:sz w:val="24"/>
        <w:szCs w:val="24"/>
      </w:rPr>
      <w:fldChar w:fldCharType="separate"/>
    </w:r>
    <w:r w:rsidR="001626A2">
      <w:rPr>
        <w:rFonts w:ascii="Calibri" w:hAnsi="Calibri"/>
        <w:b/>
        <w:bCs/>
        <w:noProof/>
      </w:rPr>
      <w:t>2</w:t>
    </w:r>
    <w:r w:rsidR="00260326" w:rsidRPr="00E42A39">
      <w:rPr>
        <w:rFonts w:ascii="Calibri" w:hAnsi="Calibri"/>
        <w:b/>
        <w:bCs/>
        <w:sz w:val="24"/>
        <w:szCs w:val="24"/>
      </w:rPr>
      <w:fldChar w:fldCharType="end"/>
    </w:r>
  </w:p>
  <w:p w:rsidR="003859C3" w:rsidRDefault="003859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79" w:rsidRDefault="00767D79" w:rsidP="008166A0">
      <w:r>
        <w:separator/>
      </w:r>
    </w:p>
  </w:footnote>
  <w:footnote w:type="continuationSeparator" w:id="0">
    <w:p w:rsidR="00767D79" w:rsidRDefault="00767D7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C3" w:rsidRDefault="003859C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59C3" w:rsidRDefault="003859C3" w:rsidP="00857790">
    <w:pPr>
      <w:pStyle w:val="Legenda"/>
    </w:pPr>
  </w:p>
  <w:p w:rsidR="003859C3" w:rsidRDefault="003859C3" w:rsidP="00857790">
    <w:pPr>
      <w:pStyle w:val="Legenda"/>
    </w:pPr>
    <w:r>
      <w:t xml:space="preserve"> </w:t>
    </w:r>
  </w:p>
  <w:p w:rsidR="003859C3" w:rsidRDefault="003859C3" w:rsidP="00857790">
    <w:pPr>
      <w:pStyle w:val="Legenda"/>
    </w:pPr>
  </w:p>
  <w:p w:rsidR="003859C3" w:rsidRPr="00BE4DA8" w:rsidRDefault="003859C3" w:rsidP="00857790">
    <w:pPr>
      <w:pStyle w:val="Legenda"/>
      <w:rPr>
        <w:sz w:val="12"/>
        <w:szCs w:val="24"/>
      </w:rPr>
    </w:pPr>
  </w:p>
  <w:p w:rsidR="003859C3" w:rsidRDefault="003859C3" w:rsidP="009E7EEA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3859C3" w:rsidRPr="002A64D5" w:rsidRDefault="003859C3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4B7C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77CDA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26A2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577F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D79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1B90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17E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86E0C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E7EEA"/>
    <w:rsid w:val="009F0B7E"/>
    <w:rsid w:val="009F1B29"/>
    <w:rsid w:val="00A012B9"/>
    <w:rsid w:val="00A01D73"/>
    <w:rsid w:val="00A116FA"/>
    <w:rsid w:val="00A1271F"/>
    <w:rsid w:val="00A16041"/>
    <w:rsid w:val="00A26F23"/>
    <w:rsid w:val="00A343A6"/>
    <w:rsid w:val="00A35CB7"/>
    <w:rsid w:val="00A427CE"/>
    <w:rsid w:val="00A516D4"/>
    <w:rsid w:val="00A54A1E"/>
    <w:rsid w:val="00A553D6"/>
    <w:rsid w:val="00A757F9"/>
    <w:rsid w:val="00A7777B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24B3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4571F"/>
    <w:rsid w:val="00C52041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31E5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476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43F1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13B2C8-7DEA-4B82-846F-66269170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BBBC2-3239-4623-B02C-7E750D8C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2020-02-04T19:18:00Z</cp:lastPrinted>
  <dcterms:created xsi:type="dcterms:W3CDTF">2020-02-04T19:56:00Z</dcterms:created>
  <dcterms:modified xsi:type="dcterms:W3CDTF">2020-02-04T19:56:00Z</dcterms:modified>
</cp:coreProperties>
</file>