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42/2020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57/2020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R$ 700.000,00 (setecentos mil reais), para atender às despesas com a assistência hospitalar e ambulatorial,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especiais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9E2" w:rsidRDefault="00E769E2" w:rsidP="00126850">
      <w:pPr>
        <w:spacing w:line="240" w:lineRule="auto"/>
      </w:pPr>
      <w:r>
        <w:separator/>
      </w:r>
    </w:p>
  </w:endnote>
  <w:endnote w:type="continuationSeparator" w:id="0">
    <w:p w:rsidR="00E769E2" w:rsidRDefault="00E769E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7410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7410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9E2" w:rsidRDefault="00E769E2" w:rsidP="00126850">
      <w:pPr>
        <w:spacing w:line="240" w:lineRule="auto"/>
      </w:pPr>
      <w:r>
        <w:separator/>
      </w:r>
    </w:p>
  </w:footnote>
  <w:footnote w:type="continuationSeparator" w:id="0">
    <w:p w:rsidR="00E769E2" w:rsidRDefault="00E769E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410D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69E2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496A3-27ED-4AEE-9B93-D27E8AF4B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2020-01-31T19:27:00Z</dcterms:modified>
</cp:coreProperties>
</file>