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Reconhece, nos termos e condições que especifica, que a propriedade do imóvel objeto da Matrícula nº 22.524, autuada no Livro nº 2 – Registro Geral, do Segundo Cartório de Registro de Imóveis da Comarca de Araraquara, é do município de Gavião Peixoto.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7B" w:rsidRDefault="0062347B" w:rsidP="00126850">
      <w:pPr>
        <w:spacing w:line="240" w:lineRule="auto"/>
      </w:pPr>
      <w:r>
        <w:separator/>
      </w:r>
    </w:p>
  </w:endnote>
  <w:endnote w:type="continuationSeparator" w:id="0">
    <w:p w:rsidR="0062347B" w:rsidRDefault="0062347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912C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912C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7B" w:rsidRDefault="0062347B" w:rsidP="00126850">
      <w:pPr>
        <w:spacing w:line="240" w:lineRule="auto"/>
      </w:pPr>
      <w:r>
        <w:separator/>
      </w:r>
    </w:p>
  </w:footnote>
  <w:footnote w:type="continuationSeparator" w:id="0">
    <w:p w:rsidR="0062347B" w:rsidRDefault="0062347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12CC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347B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17C9-DB7A-4EFD-B77A-28C22D0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2020-01-30T18:45:00Z</dcterms:modified>
</cp:coreProperties>
</file>