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23/2020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34/2020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conceder, no corrente exercício, subvenções sociais, até o valor de R$ 260.000,00 (duzentos e sessenta mil reais), às entidades de assistência social devidamente inscritas no Conselho Municipal de Assistência Social, para despesa com custeio e recursos humanos da implementação dos serviços assistenciais de ação continuada,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6D0A49">
        <w:rPr>
          <w:rFonts w:ascii="Arial" w:eastAsia="Times New Roman" w:hAnsi="Arial" w:cs="Arial"/>
          <w:szCs w:val="24"/>
          <w:lang w:eastAsia="pt-BR"/>
        </w:rPr>
        <w:t>Cabe à Câmara Municipal, com a sanção do Prefeito, legislar sobre autorização para abertura de créditos especiais, bem como concessão de auxílios e subvenções (artigo 21, incisos III e 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6D0A49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979" w:rsidRDefault="00A47979" w:rsidP="00126850">
      <w:pPr>
        <w:spacing w:line="240" w:lineRule="auto"/>
      </w:pPr>
      <w:r>
        <w:separator/>
      </w:r>
    </w:p>
  </w:endnote>
  <w:endnote w:type="continuationSeparator" w:id="0">
    <w:p w:rsidR="00A47979" w:rsidRDefault="00A4797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D0A4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D0A4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979" w:rsidRDefault="00A47979" w:rsidP="00126850">
      <w:pPr>
        <w:spacing w:line="240" w:lineRule="auto"/>
      </w:pPr>
      <w:r>
        <w:separator/>
      </w:r>
    </w:p>
  </w:footnote>
  <w:footnote w:type="continuationSeparator" w:id="0">
    <w:p w:rsidR="00A47979" w:rsidRDefault="00A4797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0A49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4797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19A21-7B30-4EF3-B3FE-D443B13F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2020-01-23T15:59:00Z</cp:lastPrinted>
  <dcterms:created xsi:type="dcterms:W3CDTF">2019-01-29T17:14:00Z</dcterms:created>
  <dcterms:modified xsi:type="dcterms:W3CDTF">2020-01-23T15:59:00Z</dcterms:modified>
</cp:coreProperties>
</file>