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B07B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B07B8">
        <w:rPr>
          <w:rFonts w:ascii="Tahoma" w:hAnsi="Tahoma" w:cs="Tahoma"/>
          <w:b/>
          <w:sz w:val="32"/>
          <w:szCs w:val="32"/>
          <w:u w:val="single"/>
        </w:rPr>
        <w:t>414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23A0">
        <w:rPr>
          <w:rFonts w:ascii="Tahoma" w:hAnsi="Tahoma" w:cs="Tahoma"/>
          <w:b/>
          <w:sz w:val="32"/>
          <w:szCs w:val="32"/>
          <w:u w:val="single"/>
        </w:rPr>
        <w:t>420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523A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523A0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5523A0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5523A0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5523A0">
        <w:rPr>
          <w:rFonts w:ascii="Calibri" w:hAnsi="Calibri" w:cs="Calibri"/>
          <w:sz w:val="22"/>
          <w:szCs w:val="22"/>
        </w:rPr>
        <w:t>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23A0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5523A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5523A0">
        <w:rPr>
          <w:rFonts w:ascii="Calibri" w:hAnsi="Calibri" w:cs="Calibri"/>
          <w:sz w:val="24"/>
          <w:szCs w:val="22"/>
        </w:rPr>
        <w:t>special, até o limite</w:t>
      </w:r>
      <w:r>
        <w:rPr>
          <w:rFonts w:ascii="Calibri" w:hAnsi="Calibri" w:cs="Calibri"/>
          <w:sz w:val="24"/>
          <w:szCs w:val="22"/>
        </w:rPr>
        <w:t xml:space="preserve"> de R$ 1.084.222,07 (um milhão,</w:t>
      </w:r>
      <w:r w:rsidRPr="005523A0">
        <w:rPr>
          <w:rFonts w:ascii="Calibri" w:hAnsi="Calibri" w:cs="Calibri"/>
          <w:sz w:val="24"/>
          <w:szCs w:val="22"/>
        </w:rPr>
        <w:t xml:space="preserve"> oitenta e quatro mil, duzentos e vinte e dois reais e sete centavos), conforme demonstrativo abaixo:</w:t>
      </w:r>
    </w:p>
    <w:p w:rsid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4.731,26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4.731,26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455.772,82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455.772,82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213.410,74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213.410,74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12.366.0021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12.366.0021.2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3.439,84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3.439,84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12.361.0018.2.310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406.867,41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523A0" w:rsidRPr="00631B61" w:rsidTr="005523A0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406.867,41 </w:t>
            </w:r>
          </w:p>
        </w:tc>
      </w:tr>
      <w:tr w:rsidR="005523A0" w:rsidRPr="00631B61" w:rsidTr="005523A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23A0" w:rsidRPr="00631B61" w:rsidRDefault="005523A0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23A0" w:rsidRPr="00631B61" w:rsidRDefault="005523A0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23A0">
        <w:rPr>
          <w:rFonts w:ascii="Calibri" w:hAnsi="Calibri" w:cs="Calibri"/>
          <w:sz w:val="24"/>
          <w:szCs w:val="22"/>
        </w:rPr>
        <w:t>O crédito adicional especial previsto no “caput” deste artigo destina-se a:</w:t>
      </w:r>
    </w:p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>I – despesas com contratação de serviços especializados em fornecimento de alimentação escolar; e</w:t>
      </w:r>
    </w:p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 xml:space="preserve">II – despesas com contratação de serviços de limpeza, portaria, zeladoria, manutenção e conservação predial. </w:t>
      </w:r>
    </w:p>
    <w:p w:rsid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>Art. 2º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523A0">
        <w:rPr>
          <w:rFonts w:ascii="Calibri" w:hAnsi="Calibri" w:cs="Calibri"/>
          <w:sz w:val="24"/>
          <w:szCs w:val="22"/>
        </w:rPr>
        <w:t xml:space="preserve"> O crédito autorizado no art. 1º desta lei será coberto com a anulação parcial das dotações orçamentárias vigentes e abaixo especificadas:</w:t>
      </w:r>
    </w:p>
    <w:p w:rsid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361.222,07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361.222,07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249.200,00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249.200,00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94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12.244.0025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12.244.0025.2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12.244.0025.2.017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18.500,00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18.500,00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52.300,00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631B61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31B61" w:rsidRPr="00631B61" w:rsidTr="00631B61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52.300,00 </w:t>
            </w:r>
          </w:p>
        </w:tc>
      </w:tr>
      <w:tr w:rsidR="00631B61" w:rsidRPr="00631B61" w:rsidTr="00631B6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1B61" w:rsidRPr="00631B61" w:rsidRDefault="00631B61" w:rsidP="00F821B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B61" w:rsidRPr="00631B61" w:rsidRDefault="00631B61" w:rsidP="00F821B6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631B61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</w:tbl>
    <w:p w:rsid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23A0" w:rsidRP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23A0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5523A0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5523A0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5523A0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523A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5523A0" w:rsidP="005523A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23A0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523A0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5523A0" w:rsidRDefault="005523A0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B07B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07B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B07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5F07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23A0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1B61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B07B8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1215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232</cp:revision>
  <cp:lastPrinted>2018-06-26T22:41:00Z</cp:lastPrinted>
  <dcterms:created xsi:type="dcterms:W3CDTF">2016-08-16T19:55:00Z</dcterms:created>
  <dcterms:modified xsi:type="dcterms:W3CDTF">2019-12-10T19:05:00Z</dcterms:modified>
</cp:coreProperties>
</file>