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95081E">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525/2019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420/2019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R$ 1.084.222,07 (um milhão, oitenta e quatro mil, duzentos e vinte e dois reais e sete centavos), para (1) contratação de serviços especializados em fornecimento de alimentação escolar; e (2) contratação de serviços de limpeza, portaria, zeladoria, manutenção e conservação predial,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5081E">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E9F" w:rsidRDefault="007F7E9F" w:rsidP="00126850">
      <w:pPr>
        <w:spacing w:line="240" w:lineRule="auto"/>
      </w:pPr>
      <w:r>
        <w:separator/>
      </w:r>
    </w:p>
  </w:endnote>
  <w:endnote w:type="continuationSeparator" w:id="0">
    <w:p w:rsidR="007F7E9F" w:rsidRDefault="007F7E9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5081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5081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E9F" w:rsidRDefault="007F7E9F" w:rsidP="00126850">
      <w:pPr>
        <w:spacing w:line="240" w:lineRule="auto"/>
      </w:pPr>
      <w:r>
        <w:separator/>
      </w:r>
    </w:p>
  </w:footnote>
  <w:footnote w:type="continuationSeparator" w:id="0">
    <w:p w:rsidR="007F7E9F" w:rsidRDefault="007F7E9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7E9F"/>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081E"/>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B5BB0-7725-48FB-AC68-77926828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1110</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2019-12-03T17:02:00Z</dcterms:modified>
</cp:coreProperties>
</file>