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F87C1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a Política Municipal de Trabalho para Pessoas Privadas de Liberdade e Egressas do Sistema Prisional,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87C1E" w:rsidRDefault="00F87C1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87C1E" w:rsidRPr="001B5DD7" w:rsidRDefault="00F87C1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F87C1E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BD" w:rsidRDefault="00C202BD" w:rsidP="00126850">
      <w:pPr>
        <w:spacing w:line="240" w:lineRule="auto"/>
      </w:pPr>
      <w:r>
        <w:separator/>
      </w:r>
    </w:p>
  </w:endnote>
  <w:endnote w:type="continuationSeparator" w:id="0">
    <w:p w:rsidR="00C202BD" w:rsidRDefault="00C202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7C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7C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BD" w:rsidRDefault="00C202BD" w:rsidP="00126850">
      <w:pPr>
        <w:spacing w:line="240" w:lineRule="auto"/>
      </w:pPr>
      <w:r>
        <w:separator/>
      </w:r>
    </w:p>
  </w:footnote>
  <w:footnote w:type="continuationSeparator" w:id="0">
    <w:p w:rsidR="00C202BD" w:rsidRDefault="00C202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2B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87C1E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00F2-234B-40AB-9A3F-2A8B91DA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2019-11-29T11:38:00Z</dcterms:modified>
</cp:coreProperties>
</file>