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F87C1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Política Municipal de Trabalho para Pessoas Privadas de Liberdade e Egressas do Sistema Prisional,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87C1E" w:rsidRDefault="00F87C1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87C1E" w:rsidRPr="001B5DD7" w:rsidRDefault="00F87C1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87C1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BD" w:rsidRDefault="00C202BD" w:rsidP="00126850">
      <w:pPr>
        <w:spacing w:line="240" w:lineRule="auto"/>
      </w:pPr>
      <w:r>
        <w:separator/>
      </w:r>
    </w:p>
  </w:endnote>
  <w:endnote w:type="continuationSeparator" w:id="0">
    <w:p w:rsidR="00C202BD" w:rsidRDefault="00C202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7C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7C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BD" w:rsidRDefault="00C202BD" w:rsidP="00126850">
      <w:pPr>
        <w:spacing w:line="240" w:lineRule="auto"/>
      </w:pPr>
      <w:r>
        <w:separator/>
      </w:r>
    </w:p>
  </w:footnote>
  <w:footnote w:type="continuationSeparator" w:id="0">
    <w:p w:rsidR="00C202BD" w:rsidRDefault="00C202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2B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87C1E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00F2-234B-40AB-9A3F-2A8B91D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2019-11-29T11:38:00Z</dcterms:modified>
</cp:coreProperties>
</file>