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491/2019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391/2019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R$ 294.600,00 (duzentos e noventa e quatro mil e seiscentos reais), para retirada de alambrado e construção de muro no Centro de Educação e Recreação Cyro Guedes Ramos, bem como aquisição de mobiliário para novas unidades escolares,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D6825">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297" w:rsidRDefault="00322297" w:rsidP="00126850">
      <w:pPr>
        <w:spacing w:line="240" w:lineRule="auto"/>
      </w:pPr>
      <w:r>
        <w:separator/>
      </w:r>
    </w:p>
  </w:endnote>
  <w:endnote w:type="continuationSeparator" w:id="0">
    <w:p w:rsidR="00322297" w:rsidRDefault="0032229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D682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D682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297" w:rsidRDefault="00322297" w:rsidP="00126850">
      <w:pPr>
        <w:spacing w:line="240" w:lineRule="auto"/>
      </w:pPr>
      <w:r>
        <w:separator/>
      </w:r>
    </w:p>
  </w:footnote>
  <w:footnote w:type="continuationSeparator" w:id="0">
    <w:p w:rsidR="00322297" w:rsidRDefault="0032229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2297"/>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D6825"/>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67AF5-BC8E-458F-A09C-3457D0764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1070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2019-11-18T12:04:00Z</dcterms:modified>
</cp:coreProperties>
</file>