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5D5" w:rsidRDefault="00826E89" w:rsidP="000D75D5">
      <w:pPr>
        <w:pStyle w:val="Cabealho"/>
        <w:ind w:left="426"/>
        <w:jc w:val="center"/>
        <w:rPr>
          <w:rFonts w:ascii="Trajan" w:hAnsi="Trajan"/>
          <w:color w:val="3889AE"/>
          <w:spacing w:val="22"/>
          <w:sz w:val="2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7" type="#_x0000_t75" alt="brasão - sem assinatura.png" style="position:absolute;left:0;text-align:left;margin-left:-28.8pt;margin-top:-11.3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5" o:title="brasão - sem assinatura"/>
            <w10:wrap type="square"/>
          </v:shape>
        </w:pict>
      </w:r>
    </w:p>
    <w:p w:rsidR="000D75D5" w:rsidRDefault="000D75D5" w:rsidP="000D75D5">
      <w:pPr>
        <w:pStyle w:val="Cabealho"/>
        <w:ind w:left="426"/>
        <w:jc w:val="center"/>
        <w:rPr>
          <w:rFonts w:ascii="Trajan" w:hAnsi="Trajan"/>
          <w:color w:val="3889AE"/>
          <w:spacing w:val="22"/>
          <w:sz w:val="32"/>
          <w:szCs w:val="32"/>
        </w:rPr>
      </w:pPr>
      <w:r>
        <w:rPr>
          <w:rFonts w:ascii="Trajan" w:hAnsi="Trajan"/>
          <w:color w:val="3889AE"/>
          <w:spacing w:val="22"/>
          <w:sz w:val="32"/>
          <w:szCs w:val="32"/>
        </w:rPr>
        <w:t>CÂMARA MUNICIPAL DE ARARAQUARA</w:t>
      </w:r>
      <w:r w:rsidRPr="000D75D5">
        <w:t xml:space="preserve"> </w:t>
      </w:r>
      <w:r w:rsidRPr="000D75D5">
        <w:rPr>
          <w:rFonts w:ascii="Trajan" w:hAnsi="Trajan"/>
          <w:color w:val="3889AE"/>
          <w:spacing w:val="22"/>
          <w:sz w:val="28"/>
          <w:szCs w:val="32"/>
        </w:rPr>
        <w:t>Estado de São Paulo</w:t>
      </w:r>
    </w:p>
    <w:p w:rsidR="000D75D5" w:rsidRDefault="000D75D5" w:rsidP="000D75D5">
      <w:pPr>
        <w:pStyle w:val="Cabealho"/>
      </w:pPr>
    </w:p>
    <w:p w:rsidR="00C06142" w:rsidRPr="00A83EC7" w:rsidRDefault="00C06142" w:rsidP="00393C44">
      <w:pPr>
        <w:jc w:val="center"/>
        <w:rPr>
          <w:rFonts w:ascii="Tahoma" w:hAnsi="Tahoma" w:cs="Tahoma"/>
          <w:b/>
          <w:bCs/>
          <w:sz w:val="32"/>
          <w:szCs w:val="32"/>
          <w:u w:val="single"/>
        </w:rPr>
      </w:pPr>
      <w:r>
        <w:rPr>
          <w:rFonts w:ascii="Tahoma" w:hAnsi="Tahoma" w:cs="Tahoma"/>
          <w:b/>
          <w:bCs/>
          <w:sz w:val="32"/>
          <w:szCs w:val="32"/>
          <w:u w:val="single"/>
        </w:rPr>
        <w:t>RESOLUÇÃO NÚMERO 4</w:t>
      </w:r>
      <w:r w:rsidR="00826E89">
        <w:rPr>
          <w:rFonts w:ascii="Tahoma" w:hAnsi="Tahoma" w:cs="Tahoma"/>
          <w:b/>
          <w:bCs/>
          <w:sz w:val="32"/>
          <w:szCs w:val="32"/>
          <w:u w:val="single"/>
        </w:rPr>
        <w:t>49</w:t>
      </w:r>
    </w:p>
    <w:p w:rsidR="00C06142" w:rsidRDefault="00C06142" w:rsidP="00393C44">
      <w:pPr>
        <w:jc w:val="center"/>
        <w:rPr>
          <w:rFonts w:ascii="Tahoma" w:hAnsi="Tahoma" w:cs="Tahoma"/>
          <w:sz w:val="32"/>
          <w:szCs w:val="32"/>
        </w:rPr>
      </w:pPr>
      <w:r>
        <w:rPr>
          <w:rFonts w:ascii="Tahoma" w:hAnsi="Tahoma" w:cs="Tahoma"/>
          <w:sz w:val="32"/>
          <w:szCs w:val="32"/>
        </w:rPr>
        <w:t xml:space="preserve">De </w:t>
      </w:r>
      <w:r w:rsidR="004030D9">
        <w:rPr>
          <w:rFonts w:ascii="Tahoma" w:hAnsi="Tahoma" w:cs="Tahoma"/>
          <w:sz w:val="32"/>
          <w:szCs w:val="32"/>
        </w:rPr>
        <w:t>1</w:t>
      </w:r>
      <w:r w:rsidR="00826E89">
        <w:rPr>
          <w:rFonts w:ascii="Tahoma" w:hAnsi="Tahoma" w:cs="Tahoma"/>
          <w:sz w:val="32"/>
          <w:szCs w:val="32"/>
        </w:rPr>
        <w:t>3</w:t>
      </w:r>
      <w:r>
        <w:rPr>
          <w:rFonts w:ascii="Tahoma" w:hAnsi="Tahoma" w:cs="Tahoma"/>
          <w:sz w:val="32"/>
          <w:szCs w:val="32"/>
        </w:rPr>
        <w:t xml:space="preserve"> de </w:t>
      </w:r>
      <w:r w:rsidR="00826E89">
        <w:rPr>
          <w:rFonts w:ascii="Tahoma" w:hAnsi="Tahoma" w:cs="Tahoma"/>
          <w:sz w:val="32"/>
          <w:szCs w:val="32"/>
        </w:rPr>
        <w:t>novemb</w:t>
      </w:r>
      <w:r w:rsidR="003D7273">
        <w:rPr>
          <w:rFonts w:ascii="Tahoma" w:hAnsi="Tahoma" w:cs="Tahoma"/>
          <w:sz w:val="32"/>
          <w:szCs w:val="32"/>
        </w:rPr>
        <w:t xml:space="preserve">ro </w:t>
      </w:r>
      <w:r>
        <w:rPr>
          <w:rFonts w:ascii="Tahoma" w:hAnsi="Tahoma" w:cs="Tahoma"/>
          <w:sz w:val="32"/>
          <w:szCs w:val="32"/>
        </w:rPr>
        <w:t>de 201</w:t>
      </w:r>
      <w:r w:rsidR="004E095B">
        <w:rPr>
          <w:rFonts w:ascii="Tahoma" w:hAnsi="Tahoma" w:cs="Tahoma"/>
          <w:sz w:val="32"/>
          <w:szCs w:val="32"/>
        </w:rPr>
        <w:t>9</w:t>
      </w:r>
    </w:p>
    <w:p w:rsidR="00C06142" w:rsidRPr="00A83EC7" w:rsidRDefault="004030D9" w:rsidP="00393C44">
      <w:pPr>
        <w:jc w:val="center"/>
        <w:rPr>
          <w:rFonts w:ascii="Tahoma" w:hAnsi="Tahoma" w:cs="Tahoma"/>
          <w:b/>
          <w:bCs/>
          <w:sz w:val="32"/>
          <w:szCs w:val="32"/>
        </w:rPr>
      </w:pPr>
      <w:r>
        <w:rPr>
          <w:rFonts w:ascii="Tahoma" w:hAnsi="Tahoma" w:cs="Tahoma"/>
          <w:b/>
          <w:bCs/>
          <w:sz w:val="32"/>
          <w:szCs w:val="32"/>
        </w:rPr>
        <w:t>Iniciativa</w:t>
      </w:r>
      <w:r w:rsidR="00C06142">
        <w:rPr>
          <w:rFonts w:ascii="Tahoma" w:hAnsi="Tahoma" w:cs="Tahoma"/>
          <w:b/>
          <w:bCs/>
          <w:sz w:val="32"/>
          <w:szCs w:val="32"/>
        </w:rPr>
        <w:t xml:space="preserve">: </w:t>
      </w:r>
      <w:r w:rsidR="00826E89">
        <w:rPr>
          <w:rFonts w:ascii="Tahoma" w:hAnsi="Tahoma" w:cs="Tahoma"/>
          <w:b/>
          <w:bCs/>
          <w:sz w:val="32"/>
          <w:szCs w:val="32"/>
        </w:rPr>
        <w:t>MESA DA CÂMARA MUNICIPAL DE ARARAQUARA</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652DB3" w:rsidRDefault="00826E89" w:rsidP="00652DB3">
      <w:pPr>
        <w:ind w:left="4678"/>
        <w:jc w:val="both"/>
        <w:rPr>
          <w:rFonts w:ascii="Calibri" w:hAnsi="Calibri" w:cs="Calibri"/>
        </w:rPr>
      </w:pPr>
      <w:r w:rsidRPr="00826E89">
        <w:rPr>
          <w:rFonts w:ascii="Calibri" w:hAnsi="Calibri" w:cs="Calibri"/>
        </w:rPr>
        <w:t>Autoriza o Poder Legislativo a celebrar convênio com instituições financeiras para concessão de empréstimos, sob garantia de consignação com desconto em folha de pagamento, aos servidores públicos do Poder Legislativo Municipal, e dá outras providências.</w:t>
      </w:r>
    </w:p>
    <w:p w:rsidR="00C06142" w:rsidRPr="000C27D0" w:rsidRDefault="00C06142" w:rsidP="00393C44">
      <w:pPr>
        <w:jc w:val="both"/>
        <w:rPr>
          <w:rFonts w:ascii="Calibri" w:hAnsi="Calibri" w:cs="Calibri"/>
          <w:sz w:val="16"/>
          <w:szCs w:val="16"/>
        </w:rPr>
      </w:pPr>
    </w:p>
    <w:p w:rsidR="00C06142" w:rsidRPr="000C27D0" w:rsidRDefault="00C06142" w:rsidP="00393C44">
      <w:pPr>
        <w:jc w:val="both"/>
        <w:rPr>
          <w:rFonts w:ascii="Calibri" w:hAnsi="Calibri" w:cs="Calibri"/>
          <w:sz w:val="16"/>
          <w:szCs w:val="16"/>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i/>
          <w:iCs/>
          <w:sz w:val="24"/>
          <w:szCs w:val="24"/>
        </w:rPr>
        <w:tab/>
      </w:r>
      <w:r w:rsidR="003B5389">
        <w:rPr>
          <w:rFonts w:ascii="Calibri" w:hAnsi="Calibri" w:cs="Calibri"/>
          <w:bCs/>
          <w:iCs/>
          <w:sz w:val="24"/>
          <w:szCs w:val="24"/>
        </w:rPr>
        <w:tab/>
      </w:r>
      <w:r w:rsidR="00826E89">
        <w:rPr>
          <w:rFonts w:ascii="Calibri" w:hAnsi="Calibri" w:cs="Calibri"/>
          <w:bCs/>
          <w:iCs/>
          <w:sz w:val="24"/>
          <w:szCs w:val="24"/>
        </w:rPr>
        <w:t>A</w:t>
      </w:r>
      <w:r w:rsidRPr="000C27D0">
        <w:rPr>
          <w:rFonts w:ascii="Calibri" w:hAnsi="Calibri" w:cs="Calibri"/>
          <w:sz w:val="24"/>
          <w:szCs w:val="24"/>
        </w:rPr>
        <w:t xml:space="preserve"> PRESID</w:t>
      </w:r>
      <w:r w:rsidR="00826E89">
        <w:rPr>
          <w:rFonts w:ascii="Calibri" w:hAnsi="Calibri" w:cs="Calibri"/>
          <w:sz w:val="24"/>
          <w:szCs w:val="24"/>
        </w:rPr>
        <w:t>Ê</w:t>
      </w:r>
      <w:r w:rsidRPr="000C27D0">
        <w:rPr>
          <w:rFonts w:ascii="Calibri" w:hAnsi="Calibri" w:cs="Calibri"/>
          <w:sz w:val="24"/>
          <w:szCs w:val="24"/>
        </w:rPr>
        <w:t>N</w:t>
      </w:r>
      <w:r w:rsidR="00826E89">
        <w:rPr>
          <w:rFonts w:ascii="Calibri" w:hAnsi="Calibri" w:cs="Calibri"/>
          <w:sz w:val="24"/>
          <w:szCs w:val="24"/>
        </w:rPr>
        <w:t>CIA</w:t>
      </w:r>
      <w:r w:rsidRPr="000C27D0">
        <w:rPr>
          <w:rFonts w:ascii="Calibri" w:hAnsi="Calibri" w:cs="Calibri"/>
          <w:sz w:val="24"/>
          <w:szCs w:val="24"/>
        </w:rPr>
        <w:t xml:space="preserve"> deste Legislativo, usando da atribuição que lhe é conferida pel</w:t>
      </w:r>
      <w:r w:rsidR="00845D08">
        <w:rPr>
          <w:rFonts w:ascii="Calibri" w:hAnsi="Calibri" w:cs="Calibri"/>
          <w:sz w:val="24"/>
          <w:szCs w:val="24"/>
        </w:rPr>
        <w:t xml:space="preserve">a alínea </w:t>
      </w:r>
      <w:r w:rsidR="00845D08">
        <w:rPr>
          <w:rFonts w:ascii="Calibri" w:hAnsi="Calibri" w:cs="Calibri"/>
          <w:i/>
          <w:sz w:val="24"/>
          <w:szCs w:val="24"/>
        </w:rPr>
        <w:t xml:space="preserve">g </w:t>
      </w:r>
      <w:r w:rsidR="00845D08">
        <w:rPr>
          <w:rFonts w:ascii="Calibri" w:hAnsi="Calibri" w:cs="Calibri"/>
          <w:sz w:val="24"/>
          <w:szCs w:val="24"/>
        </w:rPr>
        <w:t>do inciso II d</w:t>
      </w:r>
      <w:r w:rsidRPr="000C27D0">
        <w:rPr>
          <w:rFonts w:ascii="Calibri" w:hAnsi="Calibri" w:cs="Calibri"/>
          <w:sz w:val="24"/>
          <w:szCs w:val="24"/>
        </w:rPr>
        <w:t>o artigo 32</w:t>
      </w:r>
      <w:r w:rsidR="00845D08">
        <w:rPr>
          <w:rFonts w:ascii="Calibri" w:hAnsi="Calibri" w:cs="Calibri"/>
          <w:sz w:val="24"/>
          <w:szCs w:val="24"/>
        </w:rPr>
        <w:t xml:space="preserve"> do Regimento Interno da Câmara Municipal de Araraquara</w:t>
      </w:r>
      <w:r w:rsidRPr="000C27D0">
        <w:rPr>
          <w:rFonts w:ascii="Calibri" w:hAnsi="Calibri" w:cs="Calibri"/>
          <w:sz w:val="24"/>
          <w:szCs w:val="24"/>
        </w:rPr>
        <w:t xml:space="preserve">, </w:t>
      </w:r>
      <w:r w:rsidR="00845D08">
        <w:rPr>
          <w:rFonts w:ascii="Calibri" w:hAnsi="Calibri" w:cs="Calibri"/>
          <w:sz w:val="24"/>
          <w:szCs w:val="24"/>
        </w:rPr>
        <w:t>anexo à</w:t>
      </w:r>
      <w:r w:rsidRPr="000C27D0">
        <w:rPr>
          <w:rFonts w:ascii="Calibri" w:hAnsi="Calibri" w:cs="Calibri"/>
          <w:sz w:val="24"/>
          <w:szCs w:val="24"/>
        </w:rPr>
        <w:t xml:space="preserve"> Resolução nº 399, de 14 de novembro de 2012, e de acordo com o que aprovou o plená</w:t>
      </w:r>
      <w:r>
        <w:rPr>
          <w:rFonts w:ascii="Calibri" w:hAnsi="Calibri" w:cs="Calibri"/>
          <w:sz w:val="24"/>
          <w:szCs w:val="24"/>
        </w:rPr>
        <w:t xml:space="preserve">rio em sessão ordinária de </w:t>
      </w:r>
      <w:r w:rsidR="00814EC1">
        <w:rPr>
          <w:rFonts w:ascii="Calibri" w:hAnsi="Calibri" w:cs="Calibri"/>
          <w:sz w:val="24"/>
          <w:szCs w:val="24"/>
        </w:rPr>
        <w:t>1</w:t>
      </w:r>
      <w:r w:rsidR="00826E89">
        <w:rPr>
          <w:rFonts w:ascii="Calibri" w:hAnsi="Calibri" w:cs="Calibri"/>
          <w:sz w:val="24"/>
          <w:szCs w:val="24"/>
        </w:rPr>
        <w:t>2</w:t>
      </w:r>
      <w:r w:rsidR="003D7273">
        <w:rPr>
          <w:rFonts w:ascii="Calibri" w:hAnsi="Calibri" w:cs="Calibri"/>
          <w:sz w:val="24"/>
          <w:szCs w:val="24"/>
        </w:rPr>
        <w:t xml:space="preserve"> </w:t>
      </w:r>
      <w:r w:rsidRPr="000C27D0">
        <w:rPr>
          <w:rFonts w:ascii="Calibri" w:hAnsi="Calibri" w:cs="Calibri"/>
          <w:sz w:val="24"/>
          <w:szCs w:val="24"/>
        </w:rPr>
        <w:t xml:space="preserve">de </w:t>
      </w:r>
      <w:r w:rsidR="00826E89">
        <w:rPr>
          <w:rFonts w:ascii="Calibri" w:hAnsi="Calibri" w:cs="Calibri"/>
          <w:sz w:val="24"/>
          <w:szCs w:val="24"/>
        </w:rPr>
        <w:t>novemb</w:t>
      </w:r>
      <w:r w:rsidR="003D7273">
        <w:rPr>
          <w:rFonts w:ascii="Calibri" w:hAnsi="Calibri" w:cs="Calibri"/>
          <w:sz w:val="24"/>
          <w:szCs w:val="24"/>
        </w:rPr>
        <w:t xml:space="preserve">ro </w:t>
      </w:r>
      <w:r w:rsidRPr="000C27D0">
        <w:rPr>
          <w:rFonts w:ascii="Calibri" w:hAnsi="Calibri" w:cs="Calibri"/>
          <w:sz w:val="24"/>
          <w:szCs w:val="24"/>
        </w:rPr>
        <w:t>de 201</w:t>
      </w:r>
      <w:r w:rsidR="004E095B">
        <w:rPr>
          <w:rFonts w:ascii="Calibri" w:hAnsi="Calibri" w:cs="Calibri"/>
          <w:sz w:val="24"/>
          <w:szCs w:val="24"/>
        </w:rPr>
        <w:t>9</w:t>
      </w:r>
      <w:r w:rsidRPr="000C27D0">
        <w:rPr>
          <w:rFonts w:ascii="Calibri" w:hAnsi="Calibri" w:cs="Calibri"/>
          <w:sz w:val="24"/>
          <w:szCs w:val="24"/>
        </w:rPr>
        <w:t>, promulga a seguinte</w:t>
      </w:r>
    </w:p>
    <w:p w:rsidR="00C06142" w:rsidRPr="009D0CF1" w:rsidRDefault="00C06142" w:rsidP="00393C44">
      <w:pPr>
        <w:jc w:val="both"/>
        <w:rPr>
          <w:rFonts w:ascii="Calibri" w:hAnsi="Calibri" w:cs="Calibri"/>
          <w:sz w:val="16"/>
          <w:szCs w:val="16"/>
        </w:rPr>
      </w:pPr>
    </w:p>
    <w:p w:rsidR="00C06142" w:rsidRPr="000C27D0" w:rsidRDefault="00C06142" w:rsidP="00393C44">
      <w:pPr>
        <w:jc w:val="center"/>
        <w:rPr>
          <w:rFonts w:ascii="Tahoma" w:hAnsi="Tahoma" w:cs="Tahoma"/>
          <w:b/>
          <w:bCs/>
          <w:sz w:val="32"/>
          <w:szCs w:val="32"/>
          <w:u w:val="single"/>
        </w:rPr>
      </w:pPr>
      <w:r w:rsidRPr="000C27D0">
        <w:rPr>
          <w:rFonts w:ascii="Tahoma" w:hAnsi="Tahoma" w:cs="Tahoma"/>
          <w:b/>
          <w:bCs/>
          <w:sz w:val="32"/>
          <w:szCs w:val="32"/>
          <w:u w:val="single"/>
        </w:rPr>
        <w:t>RESOLUÇÃO</w:t>
      </w:r>
    </w:p>
    <w:p w:rsidR="00DE2CC1" w:rsidRPr="00DE2CC1" w:rsidRDefault="00C06142" w:rsidP="00DE2CC1">
      <w:pPr>
        <w:tabs>
          <w:tab w:val="left" w:pos="2835"/>
        </w:tabs>
        <w:jc w:val="both"/>
        <w:rPr>
          <w:rFonts w:ascii="Calibri" w:hAnsi="Calibri" w:cs="Calibri"/>
          <w:sz w:val="24"/>
          <w:szCs w:val="24"/>
        </w:rPr>
      </w:pPr>
      <w:r w:rsidRPr="000C27D0">
        <w:rPr>
          <w:rFonts w:ascii="Calibri" w:hAnsi="Calibri" w:cs="Calibri"/>
          <w:sz w:val="24"/>
          <w:szCs w:val="24"/>
        </w:rPr>
        <w:tab/>
      </w:r>
      <w:r w:rsidR="00DE2CC1" w:rsidRPr="00DE2CC1">
        <w:rPr>
          <w:rFonts w:ascii="Calibri" w:hAnsi="Calibri" w:cs="Calibri"/>
          <w:sz w:val="24"/>
          <w:szCs w:val="24"/>
        </w:rPr>
        <w:t xml:space="preserve"> </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1</w:t>
      </w:r>
      <w:proofErr w:type="gramStart"/>
      <w:r w:rsidRPr="00826E89">
        <w:rPr>
          <w:rFonts w:ascii="Calibri" w:hAnsi="Calibri" w:cs="Calibri"/>
          <w:sz w:val="24"/>
          <w:szCs w:val="24"/>
        </w:rPr>
        <w:t>º  Fica</w:t>
      </w:r>
      <w:proofErr w:type="gramEnd"/>
      <w:r w:rsidRPr="00826E89">
        <w:rPr>
          <w:rFonts w:ascii="Calibri" w:hAnsi="Calibri" w:cs="Calibri"/>
          <w:sz w:val="24"/>
          <w:szCs w:val="24"/>
        </w:rPr>
        <w:t xml:space="preserve"> o Poder Legislativo autorizado a celebrar convênio com instituições financeiras para concessão de empréstimos, sob garantia de consignação com desconto em folha de pagamento, aos servidores públicos do Poder Legislativo Municipal.</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Parágrafo único.  São servidores públicos do Poder Legislativo Municipal, elegíveis aos empréstimos contemplados nesta resolução, os servidores efetivos, ativos ou inativos, os servidores comissionados e os vereadores em pleno exercício do mandato.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2</w:t>
      </w:r>
      <w:proofErr w:type="gramStart"/>
      <w:r w:rsidRPr="00826E89">
        <w:rPr>
          <w:rFonts w:ascii="Calibri" w:hAnsi="Calibri" w:cs="Calibri"/>
          <w:sz w:val="24"/>
          <w:szCs w:val="24"/>
        </w:rPr>
        <w:t>º  Considera</w:t>
      </w:r>
      <w:proofErr w:type="gramEnd"/>
      <w:r w:rsidRPr="00826E89">
        <w:rPr>
          <w:rFonts w:ascii="Calibri" w:hAnsi="Calibri" w:cs="Calibri"/>
          <w:sz w:val="24"/>
          <w:szCs w:val="24"/>
        </w:rPr>
        <w:t>-se, para fins desta resolução: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I – consignatário: instituição financeira responsável pela concessão do empréstimo;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II – consignante: o Poder Legislativo Municipal, que procederá, em folha de pagamento dos servidores ou vereadores para os quais foram concedidos empréstimos, os descontos relativos às consignações, recolhendo em favor do consignatário os valores descontados;</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III – consignado: servidores públicos do Poder Legislativo Municipal definidos no parágrafo único do art. 1º desta resolução;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IV – consignação compulsória: desconto incidente sobre a remuneração do servidor ou subsídio do vereador, quando for o caso, efetuado por força de lei ou mandado judicial, podendo ser:</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 contribuições previdenciárias;</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b) imposto de renda;</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c) pensão alimentícia judicial;</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d) reposição e indenização ao erário;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e) decisão judicial ou administrativa; ou</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f) outros descontos compulsórios instituídos por lei.</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lastRenderedPageBreak/>
        <w:tab/>
      </w:r>
      <w:r w:rsidRPr="00826E89">
        <w:rPr>
          <w:rFonts w:ascii="Calibri" w:hAnsi="Calibri" w:cs="Calibri"/>
          <w:sz w:val="24"/>
          <w:szCs w:val="24"/>
        </w:rPr>
        <w:tab/>
        <w:t>V – consignação facultativa: desconto incidente sobre a remuneração do servidor ou subsídio do vereador, mediante sua autorização prévia e formal, e anuência da Administração; e</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VI – remuneração líquida ou subsídio líquido: a parcela remanescente da remuneração do servidor ou do subsídio do vereador após a dedução das consignações compulsórias.</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3</w:t>
      </w:r>
      <w:proofErr w:type="gramStart"/>
      <w:r w:rsidRPr="00826E89">
        <w:rPr>
          <w:rFonts w:ascii="Calibri" w:hAnsi="Calibri" w:cs="Calibri"/>
          <w:sz w:val="24"/>
          <w:szCs w:val="24"/>
        </w:rPr>
        <w:t>º  A</w:t>
      </w:r>
      <w:proofErr w:type="gramEnd"/>
      <w:r w:rsidRPr="00826E89">
        <w:rPr>
          <w:rFonts w:ascii="Calibri" w:hAnsi="Calibri" w:cs="Calibri"/>
          <w:sz w:val="24"/>
          <w:szCs w:val="24"/>
        </w:rPr>
        <w:t xml:space="preserve"> operação de empréstimo de que trata esta resolução dar-se-á por meio de instrumento de empréstimo a ser firmado entre o consignado e o consignatário, observados os dispositivos legais vigentes, assim como as disposições do convênio a ser celebrado entre o consignatário e o consignante.</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4</w:t>
      </w:r>
      <w:proofErr w:type="gramStart"/>
      <w:r w:rsidRPr="00826E89">
        <w:rPr>
          <w:rFonts w:ascii="Calibri" w:hAnsi="Calibri" w:cs="Calibri"/>
          <w:sz w:val="24"/>
          <w:szCs w:val="24"/>
        </w:rPr>
        <w:t>º  O</w:t>
      </w:r>
      <w:proofErr w:type="gramEnd"/>
      <w:r w:rsidRPr="00826E89">
        <w:rPr>
          <w:rFonts w:ascii="Calibri" w:hAnsi="Calibri" w:cs="Calibri"/>
          <w:sz w:val="24"/>
          <w:szCs w:val="24"/>
        </w:rPr>
        <w:t xml:space="preserve"> consignatário deverá encaminhar a listagem com o nome dos servidores públicos do Poder Legislativo Municipal e os valores a serem debitados ao consignante até o mínimo de 2 (dois) dias antes do fechamento da folha de pagamento.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 1</w:t>
      </w:r>
      <w:proofErr w:type="gramStart"/>
      <w:r w:rsidRPr="00826E89">
        <w:rPr>
          <w:rFonts w:ascii="Calibri" w:hAnsi="Calibri" w:cs="Calibri"/>
          <w:sz w:val="24"/>
          <w:szCs w:val="24"/>
        </w:rPr>
        <w:t>º  Extrapolado</w:t>
      </w:r>
      <w:proofErr w:type="gramEnd"/>
      <w:r w:rsidRPr="00826E89">
        <w:rPr>
          <w:rFonts w:ascii="Calibri" w:hAnsi="Calibri" w:cs="Calibri"/>
          <w:sz w:val="24"/>
          <w:szCs w:val="24"/>
        </w:rPr>
        <w:t xml:space="preserve"> o prazo mencionado no “caput” deste artigo, o desconto não será realizado.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 2</w:t>
      </w:r>
      <w:proofErr w:type="gramStart"/>
      <w:r w:rsidRPr="00826E89">
        <w:rPr>
          <w:rFonts w:ascii="Calibri" w:hAnsi="Calibri" w:cs="Calibri"/>
          <w:sz w:val="24"/>
          <w:szCs w:val="24"/>
        </w:rPr>
        <w:t>º  Nos</w:t>
      </w:r>
      <w:proofErr w:type="gramEnd"/>
      <w:r w:rsidRPr="00826E89">
        <w:rPr>
          <w:rFonts w:ascii="Calibri" w:hAnsi="Calibri" w:cs="Calibri"/>
          <w:sz w:val="24"/>
          <w:szCs w:val="24"/>
        </w:rPr>
        <w:t xml:space="preserve"> casos de desconto a maior em razão de informações incorretas do consignatário, ficará este obrigado, no prazo de 48 (quarenta e oito) horas, a ressarcir o consignado, encaminhando os comprovantes para o consignante.</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5</w:t>
      </w:r>
      <w:proofErr w:type="gramStart"/>
      <w:r w:rsidRPr="00826E89">
        <w:rPr>
          <w:rFonts w:ascii="Calibri" w:hAnsi="Calibri" w:cs="Calibri"/>
          <w:sz w:val="24"/>
          <w:szCs w:val="24"/>
        </w:rPr>
        <w:t>º  Os</w:t>
      </w:r>
      <w:proofErr w:type="gramEnd"/>
      <w:r w:rsidRPr="00826E89">
        <w:rPr>
          <w:rFonts w:ascii="Calibri" w:hAnsi="Calibri" w:cs="Calibri"/>
          <w:sz w:val="24"/>
          <w:szCs w:val="24"/>
        </w:rPr>
        <w:t xml:space="preserve"> repasses dos descontos em folha de pagamento, visando os pagamentos das parcelas de empréstimos concedidos no âmbito desta resolução, deverão ocorrer em data e conta a serem previstos no referido convênio a ser firmado entre consignante e consignatário.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6</w:t>
      </w:r>
      <w:proofErr w:type="gramStart"/>
      <w:r w:rsidRPr="00826E89">
        <w:rPr>
          <w:rFonts w:ascii="Calibri" w:hAnsi="Calibri" w:cs="Calibri"/>
          <w:sz w:val="24"/>
          <w:szCs w:val="24"/>
        </w:rPr>
        <w:t>º  No</w:t>
      </w:r>
      <w:proofErr w:type="gramEnd"/>
      <w:r w:rsidRPr="00826E89">
        <w:rPr>
          <w:rFonts w:ascii="Calibri" w:hAnsi="Calibri" w:cs="Calibri"/>
          <w:sz w:val="24"/>
          <w:szCs w:val="24"/>
        </w:rPr>
        <w:t xml:space="preserve"> ato da contratação a soma das consignações facultativas não poderá exceder ao valor equivalente a 40% (quarenta por cento) da remuneração líquida ou subsídio líquido do consignado, sendo 10% (dez por cento) exclusivo para os empréstimos rotativos mediante cartão de crédito e 30% (trinta por cento) para as demais consignações facultativas.</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7</w:t>
      </w:r>
      <w:proofErr w:type="gramStart"/>
      <w:r w:rsidRPr="00826E89">
        <w:rPr>
          <w:rFonts w:ascii="Calibri" w:hAnsi="Calibri" w:cs="Calibri"/>
          <w:sz w:val="24"/>
          <w:szCs w:val="24"/>
        </w:rPr>
        <w:t>º  A</w:t>
      </w:r>
      <w:proofErr w:type="gramEnd"/>
      <w:r w:rsidRPr="00826E89">
        <w:rPr>
          <w:rFonts w:ascii="Calibri" w:hAnsi="Calibri" w:cs="Calibri"/>
          <w:sz w:val="24"/>
          <w:szCs w:val="24"/>
        </w:rPr>
        <w:t xml:space="preserve"> consignação com desconto em folha de pagamento não implica corresponsabilidade do consignante, que fica isento de qualquer responsabilidade com relação a eventuais saldos devedores de empréstimos concedidos e não quitados integralmente.</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8</w:t>
      </w:r>
      <w:proofErr w:type="gramStart"/>
      <w:r w:rsidRPr="00826E89">
        <w:rPr>
          <w:rFonts w:ascii="Calibri" w:hAnsi="Calibri" w:cs="Calibri"/>
          <w:sz w:val="24"/>
          <w:szCs w:val="24"/>
        </w:rPr>
        <w:t>º  Ocorrendo</w:t>
      </w:r>
      <w:proofErr w:type="gramEnd"/>
      <w:r w:rsidRPr="00826E89">
        <w:rPr>
          <w:rFonts w:ascii="Calibri" w:hAnsi="Calibri" w:cs="Calibri"/>
          <w:sz w:val="24"/>
          <w:szCs w:val="24"/>
        </w:rPr>
        <w:t xml:space="preserve"> o desligamento do servidor, sob qualquer forma, do quadro do consignante, a retenção das verbas rescisórias do servidor será de até 30% (trinta por cento) de sua remuneração líquida ou subsídio líquido, observados os valores necessários à quitação de eventuais empréstimos.</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 xml:space="preserve">Parágrafo único.  Se o montante descontado não for suficiente para quitar o saldo devedor, caberá ao consignatário estabelecer outra forma de quitação das parcelas não pagas do financiamento, ficando, com relação ao respectivo servidor, extintas as obrigações do consignante. </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9</w:t>
      </w:r>
      <w:proofErr w:type="gramStart"/>
      <w:r w:rsidRPr="00826E89">
        <w:rPr>
          <w:rFonts w:ascii="Calibri" w:hAnsi="Calibri" w:cs="Calibri"/>
          <w:sz w:val="24"/>
          <w:szCs w:val="24"/>
        </w:rPr>
        <w:t>º  O</w:t>
      </w:r>
      <w:proofErr w:type="gramEnd"/>
      <w:r w:rsidRPr="00826E89">
        <w:rPr>
          <w:rFonts w:ascii="Calibri" w:hAnsi="Calibri" w:cs="Calibri"/>
          <w:sz w:val="24"/>
          <w:szCs w:val="24"/>
        </w:rPr>
        <w:t xml:space="preserve"> cumprimento, pelo consignante, das obrigações assumidas em convênio ficará automaticamente suspenso com relação ao consignado que deixar de </w:t>
      </w:r>
      <w:r w:rsidRPr="00826E89">
        <w:rPr>
          <w:rFonts w:ascii="Calibri" w:hAnsi="Calibri" w:cs="Calibri"/>
          <w:sz w:val="24"/>
          <w:szCs w:val="24"/>
        </w:rPr>
        <w:lastRenderedPageBreak/>
        <w:t>receber sua remuneração ou subsídio, conforme o caso, dos cofres do Poder Legislativo, em decorrência de eventuais afastamentos, independentemente do motivo, durante todo o período em que perdurar o afastamento.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10.  Salvo hipóteses contrárias previstas nesta resolução ou no convênio, a consignação relativa à amortização de empréstimo somente poderá ser cancelada com a aquiescência do consignado e do consignatário.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11.  As despesas decorrentes da execução desta resolução correrão por conta das dotações próprias constantes do orçamento, suplementadas se necessário.</w:t>
      </w:r>
    </w:p>
    <w:p w:rsidR="00826E89" w:rsidRPr="00826E89" w:rsidRDefault="00826E89" w:rsidP="00826E89">
      <w:pPr>
        <w:tabs>
          <w:tab w:val="left" w:pos="709"/>
          <w:tab w:val="left" w:pos="1418"/>
          <w:tab w:val="left" w:pos="2127"/>
          <w:tab w:val="left" w:pos="2835"/>
        </w:tabs>
        <w:jc w:val="both"/>
        <w:rPr>
          <w:rFonts w:ascii="Calibri" w:hAnsi="Calibri" w:cs="Calibri"/>
          <w:sz w:val="24"/>
          <w:szCs w:val="24"/>
        </w:rPr>
      </w:pPr>
    </w:p>
    <w:p w:rsidR="003B5389" w:rsidRDefault="00826E89" w:rsidP="00826E89">
      <w:pPr>
        <w:tabs>
          <w:tab w:val="left" w:pos="709"/>
          <w:tab w:val="left" w:pos="1418"/>
          <w:tab w:val="left" w:pos="2127"/>
          <w:tab w:val="left" w:pos="2835"/>
        </w:tabs>
        <w:jc w:val="both"/>
        <w:rPr>
          <w:rFonts w:ascii="Calibri" w:hAnsi="Calibri" w:cs="Calibri"/>
          <w:sz w:val="24"/>
          <w:szCs w:val="24"/>
        </w:rPr>
      </w:pPr>
      <w:r w:rsidRPr="00826E89">
        <w:rPr>
          <w:rFonts w:ascii="Calibri" w:hAnsi="Calibri" w:cs="Calibri"/>
          <w:sz w:val="24"/>
          <w:szCs w:val="24"/>
        </w:rPr>
        <w:tab/>
      </w:r>
      <w:r w:rsidRPr="00826E89">
        <w:rPr>
          <w:rFonts w:ascii="Calibri" w:hAnsi="Calibri" w:cs="Calibri"/>
          <w:sz w:val="24"/>
          <w:szCs w:val="24"/>
        </w:rPr>
        <w:tab/>
        <w:t>Art. 12.  Esta resolução entra em vigor na data de sua publicação</w:t>
      </w:r>
      <w:r>
        <w:rPr>
          <w:rFonts w:ascii="Calibri" w:hAnsi="Calibri" w:cs="Calibri"/>
          <w:sz w:val="24"/>
          <w:szCs w:val="24"/>
        </w:rPr>
        <w:t>.</w:t>
      </w:r>
    </w:p>
    <w:p w:rsidR="00826E89" w:rsidRPr="000C27D0" w:rsidRDefault="00826E89" w:rsidP="00826E89">
      <w:pPr>
        <w:tabs>
          <w:tab w:val="left" w:pos="709"/>
          <w:tab w:val="left" w:pos="1418"/>
          <w:tab w:val="left" w:pos="2127"/>
          <w:tab w:val="left" w:pos="2835"/>
        </w:tabs>
        <w:jc w:val="both"/>
        <w:rPr>
          <w:rFonts w:ascii="Calibri" w:hAnsi="Calibri" w:cs="Calibri"/>
          <w:sz w:val="24"/>
          <w:szCs w:val="24"/>
        </w:rPr>
      </w:pPr>
    </w:p>
    <w:p w:rsidR="00C06142" w:rsidRPr="000C27D0" w:rsidRDefault="00C06142" w:rsidP="003B5389">
      <w:pPr>
        <w:tabs>
          <w:tab w:val="left" w:pos="709"/>
          <w:tab w:val="left" w:pos="1418"/>
          <w:tab w:val="left" w:pos="2127"/>
          <w:tab w:val="left" w:pos="2835"/>
        </w:tabs>
        <w:jc w:val="both"/>
        <w:rPr>
          <w:rFonts w:ascii="Calibri" w:hAnsi="Calibri" w:cs="Calibri"/>
          <w:sz w:val="24"/>
          <w:szCs w:val="24"/>
        </w:rPr>
      </w:pPr>
      <w:r w:rsidRPr="000C27D0">
        <w:rPr>
          <w:rFonts w:ascii="Calibri" w:hAnsi="Calibri" w:cs="Calibri"/>
          <w:b/>
          <w:bCs/>
          <w:sz w:val="24"/>
          <w:szCs w:val="24"/>
        </w:rPr>
        <w:tab/>
      </w:r>
      <w:r w:rsidR="003B5389">
        <w:rPr>
          <w:rFonts w:ascii="Calibri" w:hAnsi="Calibri" w:cs="Calibri"/>
          <w:b/>
          <w:bCs/>
          <w:sz w:val="24"/>
          <w:szCs w:val="24"/>
        </w:rPr>
        <w:tab/>
      </w:r>
      <w:r w:rsidRPr="000C27D0">
        <w:rPr>
          <w:rFonts w:ascii="Calibri" w:hAnsi="Calibri" w:cs="Calibri"/>
          <w:sz w:val="24"/>
          <w:szCs w:val="24"/>
        </w:rPr>
        <w:t xml:space="preserve">CÂMARA MUNICIPAL DE ARARAQUARA, aos </w:t>
      </w:r>
      <w:r w:rsidR="004030D9">
        <w:rPr>
          <w:rFonts w:ascii="Calibri" w:hAnsi="Calibri" w:cs="Calibri"/>
          <w:sz w:val="24"/>
          <w:szCs w:val="24"/>
        </w:rPr>
        <w:t>1</w:t>
      </w:r>
      <w:r w:rsidR="00826E89">
        <w:rPr>
          <w:rFonts w:ascii="Calibri" w:hAnsi="Calibri" w:cs="Calibri"/>
          <w:sz w:val="24"/>
          <w:szCs w:val="24"/>
        </w:rPr>
        <w:t>3</w:t>
      </w:r>
      <w:r>
        <w:rPr>
          <w:rFonts w:ascii="Calibri" w:hAnsi="Calibri" w:cs="Calibri"/>
          <w:sz w:val="24"/>
          <w:szCs w:val="24"/>
        </w:rPr>
        <w:t xml:space="preserve"> </w:t>
      </w:r>
      <w:r w:rsidRPr="000C27D0">
        <w:rPr>
          <w:rFonts w:ascii="Calibri" w:hAnsi="Calibri" w:cs="Calibri"/>
          <w:sz w:val="24"/>
          <w:szCs w:val="24"/>
        </w:rPr>
        <w:t>(</w:t>
      </w:r>
      <w:r w:rsidR="00826E89">
        <w:rPr>
          <w:rFonts w:ascii="Calibri" w:hAnsi="Calibri" w:cs="Calibri"/>
          <w:sz w:val="24"/>
          <w:szCs w:val="24"/>
        </w:rPr>
        <w:t>treze</w:t>
      </w:r>
      <w:r w:rsidRPr="000C27D0">
        <w:rPr>
          <w:rFonts w:ascii="Calibri" w:hAnsi="Calibri" w:cs="Calibri"/>
          <w:sz w:val="24"/>
          <w:szCs w:val="24"/>
        </w:rPr>
        <w:t xml:space="preserve">) dias do mês de </w:t>
      </w:r>
      <w:r w:rsidR="00826E89">
        <w:rPr>
          <w:rFonts w:ascii="Calibri" w:hAnsi="Calibri" w:cs="Calibri"/>
          <w:sz w:val="24"/>
          <w:szCs w:val="24"/>
        </w:rPr>
        <w:t>novemb</w:t>
      </w:r>
      <w:r w:rsidR="004030D9">
        <w:rPr>
          <w:rFonts w:ascii="Calibri" w:hAnsi="Calibri" w:cs="Calibri"/>
          <w:sz w:val="24"/>
          <w:szCs w:val="24"/>
        </w:rPr>
        <w:t>r</w:t>
      </w:r>
      <w:r>
        <w:rPr>
          <w:rFonts w:ascii="Calibri" w:hAnsi="Calibri" w:cs="Calibri"/>
          <w:sz w:val="24"/>
          <w:szCs w:val="24"/>
        </w:rPr>
        <w:t xml:space="preserve">o </w:t>
      </w:r>
      <w:r w:rsidRPr="000C27D0">
        <w:rPr>
          <w:rFonts w:ascii="Calibri" w:hAnsi="Calibri" w:cs="Calibri"/>
          <w:sz w:val="24"/>
          <w:szCs w:val="24"/>
        </w:rPr>
        <w:t>do ano de 201</w:t>
      </w:r>
      <w:r w:rsidR="004E095B">
        <w:rPr>
          <w:rFonts w:ascii="Calibri" w:hAnsi="Calibri" w:cs="Calibri"/>
          <w:sz w:val="24"/>
          <w:szCs w:val="24"/>
        </w:rPr>
        <w:t>9</w:t>
      </w:r>
      <w:r w:rsidRPr="000C27D0">
        <w:rPr>
          <w:rFonts w:ascii="Calibri" w:hAnsi="Calibri" w:cs="Calibri"/>
          <w:sz w:val="24"/>
          <w:szCs w:val="24"/>
        </w:rPr>
        <w:t xml:space="preserve"> (dois mil e </w:t>
      </w:r>
      <w:r w:rsidR="004030D9">
        <w:rPr>
          <w:rFonts w:ascii="Calibri" w:hAnsi="Calibri" w:cs="Calibri"/>
          <w:sz w:val="24"/>
          <w:szCs w:val="24"/>
        </w:rPr>
        <w:t>deze</w:t>
      </w:r>
      <w:r w:rsidR="004E095B">
        <w:rPr>
          <w:rFonts w:ascii="Calibri" w:hAnsi="Calibri" w:cs="Calibri"/>
          <w:sz w:val="24"/>
          <w:szCs w:val="24"/>
        </w:rPr>
        <w:t>nov</w:t>
      </w:r>
      <w:r w:rsidR="004030D9">
        <w:rPr>
          <w:rFonts w:ascii="Calibri" w:hAnsi="Calibri" w:cs="Calibri"/>
          <w:sz w:val="24"/>
          <w:szCs w:val="24"/>
        </w:rPr>
        <w:t>e</w:t>
      </w:r>
      <w:r w:rsidRPr="000C27D0">
        <w:rPr>
          <w:rFonts w:ascii="Calibri" w:hAnsi="Calibri" w:cs="Calibri"/>
          <w:sz w:val="24"/>
          <w:szCs w:val="24"/>
        </w:rPr>
        <w:t>).</w:t>
      </w:r>
    </w:p>
    <w:p w:rsidR="00C06142" w:rsidRPr="000C27D0" w:rsidRDefault="00C06142" w:rsidP="00393C44">
      <w:pPr>
        <w:jc w:val="center"/>
        <w:rPr>
          <w:rFonts w:ascii="Calibri" w:hAnsi="Calibri" w:cs="Calibri"/>
          <w:sz w:val="24"/>
          <w:szCs w:val="24"/>
        </w:rPr>
      </w:pPr>
    </w:p>
    <w:p w:rsidR="00C06142" w:rsidRPr="000C27D0" w:rsidRDefault="00C06142" w:rsidP="00393C44">
      <w:pPr>
        <w:jc w:val="center"/>
        <w:rPr>
          <w:rFonts w:ascii="Calibri" w:hAnsi="Calibri" w:cs="Calibri"/>
          <w:sz w:val="24"/>
          <w:szCs w:val="24"/>
        </w:rPr>
      </w:pPr>
    </w:p>
    <w:p w:rsidR="00C06142" w:rsidRPr="000C27D0" w:rsidRDefault="009752E8" w:rsidP="00393C44">
      <w:pPr>
        <w:jc w:val="center"/>
        <w:rPr>
          <w:rFonts w:ascii="Calibri" w:hAnsi="Calibri" w:cs="Calibri"/>
          <w:b/>
          <w:bCs/>
          <w:sz w:val="24"/>
          <w:szCs w:val="24"/>
        </w:rPr>
      </w:pPr>
      <w:r>
        <w:rPr>
          <w:rFonts w:ascii="Calibri" w:hAnsi="Calibri" w:cs="Calibri"/>
          <w:b/>
          <w:bCs/>
          <w:sz w:val="24"/>
          <w:szCs w:val="24"/>
        </w:rPr>
        <w:t>TENENTE SANTANA</w:t>
      </w:r>
    </w:p>
    <w:p w:rsidR="00C06142" w:rsidRPr="000C27D0" w:rsidRDefault="00C06142" w:rsidP="00393C44">
      <w:pPr>
        <w:jc w:val="center"/>
        <w:rPr>
          <w:rFonts w:ascii="Calibri" w:hAnsi="Calibri" w:cs="Calibri"/>
          <w:sz w:val="24"/>
          <w:szCs w:val="24"/>
        </w:rPr>
      </w:pPr>
      <w:r w:rsidRPr="000C27D0">
        <w:rPr>
          <w:rFonts w:ascii="Calibri" w:hAnsi="Calibri" w:cs="Calibri"/>
          <w:sz w:val="24"/>
          <w:szCs w:val="24"/>
        </w:rPr>
        <w:t>Presidente</w:t>
      </w:r>
    </w:p>
    <w:p w:rsidR="00845D08" w:rsidRDefault="00845D08" w:rsidP="00845D08">
      <w:pPr>
        <w:jc w:val="both"/>
        <w:rPr>
          <w:rFonts w:ascii="Calibri" w:hAnsi="Calibri" w:cs="Calibri"/>
          <w:sz w:val="22"/>
          <w:szCs w:val="22"/>
        </w:rPr>
      </w:pPr>
    </w:p>
    <w:p w:rsidR="00845D08" w:rsidRDefault="00845D08" w:rsidP="00845D08">
      <w:pPr>
        <w:jc w:val="both"/>
        <w:rPr>
          <w:rFonts w:ascii="Calibri" w:hAnsi="Calibri" w:cs="Calibri"/>
          <w:sz w:val="22"/>
          <w:szCs w:val="22"/>
        </w:rPr>
      </w:pPr>
      <w:r w:rsidRPr="000C27D0">
        <w:rPr>
          <w:rFonts w:ascii="Calibri" w:hAnsi="Calibri" w:cs="Calibri"/>
          <w:sz w:val="22"/>
          <w:szCs w:val="22"/>
        </w:rPr>
        <w:t>Publicado na Câmara Municipal de Araraquara, na mesma data</w:t>
      </w:r>
      <w:r w:rsidR="00826E89">
        <w:rPr>
          <w:rFonts w:ascii="Calibri" w:hAnsi="Calibri" w:cs="Calibri"/>
          <w:sz w:val="22"/>
          <w:szCs w:val="22"/>
        </w:rPr>
        <w:t>.</w:t>
      </w:r>
    </w:p>
    <w:p w:rsidR="00826E89" w:rsidRPr="000C27D0" w:rsidRDefault="00826E89" w:rsidP="00845D08">
      <w:pPr>
        <w:jc w:val="both"/>
        <w:rPr>
          <w:rFonts w:ascii="Calibri" w:hAnsi="Calibri" w:cs="Calibri"/>
          <w:sz w:val="22"/>
          <w:szCs w:val="22"/>
        </w:rPr>
      </w:pPr>
      <w:r>
        <w:rPr>
          <w:rFonts w:ascii="Calibri" w:hAnsi="Calibri" w:cs="Calibri"/>
          <w:sz w:val="22"/>
          <w:szCs w:val="22"/>
        </w:rPr>
        <w:t>Arquivado no Processo Legislativo nº 484/2019.</w:t>
      </w:r>
      <w:bookmarkStart w:id="0" w:name="_GoBack"/>
      <w:bookmarkEnd w:id="0"/>
    </w:p>
    <w:p w:rsidR="00C06142" w:rsidRPr="009D0CF1" w:rsidRDefault="00C06142" w:rsidP="00393C44">
      <w:pPr>
        <w:jc w:val="center"/>
        <w:rPr>
          <w:rFonts w:ascii="Calibri" w:hAnsi="Calibri" w:cs="Calibri"/>
          <w:sz w:val="24"/>
          <w:szCs w:val="24"/>
        </w:rPr>
      </w:pPr>
    </w:p>
    <w:p w:rsidR="00C06142" w:rsidRPr="009D0CF1" w:rsidRDefault="00C06142" w:rsidP="00393C44">
      <w:pPr>
        <w:jc w:val="center"/>
        <w:rPr>
          <w:rFonts w:ascii="Calibri" w:hAnsi="Calibri" w:cs="Calibri"/>
          <w:sz w:val="24"/>
          <w:szCs w:val="24"/>
        </w:rPr>
      </w:pPr>
    </w:p>
    <w:p w:rsidR="00C06142" w:rsidRPr="000C27D0" w:rsidRDefault="00090633" w:rsidP="00393C44">
      <w:pPr>
        <w:jc w:val="center"/>
        <w:rPr>
          <w:rFonts w:ascii="Calibri" w:hAnsi="Calibri" w:cs="Calibri"/>
          <w:b/>
          <w:bCs/>
          <w:sz w:val="24"/>
          <w:szCs w:val="24"/>
        </w:rPr>
      </w:pPr>
      <w:r>
        <w:rPr>
          <w:rFonts w:ascii="Calibri" w:hAnsi="Calibri" w:cs="Calibri"/>
          <w:b/>
          <w:bCs/>
          <w:sz w:val="24"/>
          <w:szCs w:val="24"/>
        </w:rPr>
        <w:t>CARLOS HENRIQUE DE OLIVEIRA</w:t>
      </w:r>
    </w:p>
    <w:p w:rsidR="00C06142" w:rsidRPr="000C27D0" w:rsidRDefault="00090633" w:rsidP="00393C44">
      <w:pPr>
        <w:jc w:val="center"/>
        <w:rPr>
          <w:rFonts w:ascii="Calibri" w:hAnsi="Calibri" w:cs="Calibri"/>
          <w:sz w:val="24"/>
          <w:szCs w:val="24"/>
        </w:rPr>
      </w:pPr>
      <w:r>
        <w:rPr>
          <w:rFonts w:ascii="Calibri" w:hAnsi="Calibri" w:cs="Calibri"/>
          <w:sz w:val="24"/>
          <w:szCs w:val="24"/>
        </w:rPr>
        <w:t>Secretário-</w:t>
      </w:r>
      <w:r w:rsidR="00C06142" w:rsidRPr="000C27D0">
        <w:rPr>
          <w:rFonts w:ascii="Calibri" w:hAnsi="Calibri" w:cs="Calibri"/>
          <w:sz w:val="24"/>
          <w:szCs w:val="24"/>
        </w:rPr>
        <w:t>Geral</w:t>
      </w:r>
    </w:p>
    <w:sectPr w:rsidR="00C06142" w:rsidRPr="000C27D0" w:rsidSect="000C27D0">
      <w:pgSz w:w="11907" w:h="16840" w:code="9"/>
      <w:pgMar w:top="851" w:right="1134" w:bottom="851" w:left="170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829ED"/>
    <w:multiLevelType w:val="hybridMultilevel"/>
    <w:tmpl w:val="4942D3AE"/>
    <w:lvl w:ilvl="0" w:tplc="04160001">
      <w:start w:val="1"/>
      <w:numFmt w:val="bullet"/>
      <w:lvlText w:val=""/>
      <w:lvlJc w:val="left"/>
      <w:pPr>
        <w:ind w:left="770" w:hanging="360"/>
      </w:pPr>
      <w:rPr>
        <w:rFonts w:ascii="Symbol" w:hAnsi="Symbol" w:cs="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cs="Wingdings" w:hint="default"/>
      </w:rPr>
    </w:lvl>
    <w:lvl w:ilvl="3" w:tplc="04160001" w:tentative="1">
      <w:start w:val="1"/>
      <w:numFmt w:val="bullet"/>
      <w:lvlText w:val=""/>
      <w:lvlJc w:val="left"/>
      <w:pPr>
        <w:ind w:left="2930" w:hanging="360"/>
      </w:pPr>
      <w:rPr>
        <w:rFonts w:ascii="Symbol" w:hAnsi="Symbol" w:cs="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cs="Wingdings" w:hint="default"/>
      </w:rPr>
    </w:lvl>
    <w:lvl w:ilvl="6" w:tplc="04160001" w:tentative="1">
      <w:start w:val="1"/>
      <w:numFmt w:val="bullet"/>
      <w:lvlText w:val=""/>
      <w:lvlJc w:val="left"/>
      <w:pPr>
        <w:ind w:left="5090" w:hanging="360"/>
      </w:pPr>
      <w:rPr>
        <w:rFonts w:ascii="Symbol" w:hAnsi="Symbol" w:cs="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cs="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DF0"/>
    <w:rsid w:val="00030E36"/>
    <w:rsid w:val="0007746F"/>
    <w:rsid w:val="000864C1"/>
    <w:rsid w:val="00090633"/>
    <w:rsid w:val="000C27D0"/>
    <w:rsid w:val="000C46FF"/>
    <w:rsid w:val="000D75D5"/>
    <w:rsid w:val="00113109"/>
    <w:rsid w:val="00120CE3"/>
    <w:rsid w:val="00177957"/>
    <w:rsid w:val="00186E8A"/>
    <w:rsid w:val="001A5003"/>
    <w:rsid w:val="001D6DF0"/>
    <w:rsid w:val="002003F8"/>
    <w:rsid w:val="00202441"/>
    <w:rsid w:val="00254F8F"/>
    <w:rsid w:val="002B3B61"/>
    <w:rsid w:val="002D5B96"/>
    <w:rsid w:val="002F0801"/>
    <w:rsid w:val="002F3F4E"/>
    <w:rsid w:val="00321B5D"/>
    <w:rsid w:val="0035212C"/>
    <w:rsid w:val="00393C44"/>
    <w:rsid w:val="003B5389"/>
    <w:rsid w:val="003C0EF2"/>
    <w:rsid w:val="003D7273"/>
    <w:rsid w:val="003E236E"/>
    <w:rsid w:val="003F2DCE"/>
    <w:rsid w:val="004030D9"/>
    <w:rsid w:val="00481006"/>
    <w:rsid w:val="004A7B25"/>
    <w:rsid w:val="004E095B"/>
    <w:rsid w:val="005462DF"/>
    <w:rsid w:val="00572E2A"/>
    <w:rsid w:val="005771A2"/>
    <w:rsid w:val="0058573F"/>
    <w:rsid w:val="005E59C1"/>
    <w:rsid w:val="006405C5"/>
    <w:rsid w:val="006511A5"/>
    <w:rsid w:val="00652DB3"/>
    <w:rsid w:val="0069310C"/>
    <w:rsid w:val="006C6070"/>
    <w:rsid w:val="006C70A3"/>
    <w:rsid w:val="006D5CAD"/>
    <w:rsid w:val="00764E18"/>
    <w:rsid w:val="007B71A6"/>
    <w:rsid w:val="007D1251"/>
    <w:rsid w:val="00804DC2"/>
    <w:rsid w:val="00807BD6"/>
    <w:rsid w:val="00814EC1"/>
    <w:rsid w:val="00826E89"/>
    <w:rsid w:val="00827E3D"/>
    <w:rsid w:val="00830349"/>
    <w:rsid w:val="0083470E"/>
    <w:rsid w:val="008357FF"/>
    <w:rsid w:val="00845D08"/>
    <w:rsid w:val="0085447E"/>
    <w:rsid w:val="00886DA5"/>
    <w:rsid w:val="008963EF"/>
    <w:rsid w:val="008A4DD8"/>
    <w:rsid w:val="008C1F46"/>
    <w:rsid w:val="009752E8"/>
    <w:rsid w:val="00997596"/>
    <w:rsid w:val="009B5943"/>
    <w:rsid w:val="009D0CF1"/>
    <w:rsid w:val="009D3739"/>
    <w:rsid w:val="009E1277"/>
    <w:rsid w:val="009F6443"/>
    <w:rsid w:val="00A10041"/>
    <w:rsid w:val="00A46F1C"/>
    <w:rsid w:val="00A55780"/>
    <w:rsid w:val="00A83EC7"/>
    <w:rsid w:val="00AB1722"/>
    <w:rsid w:val="00AF57BF"/>
    <w:rsid w:val="00AF5E0F"/>
    <w:rsid w:val="00B45BE9"/>
    <w:rsid w:val="00B45F7E"/>
    <w:rsid w:val="00B46F24"/>
    <w:rsid w:val="00B71A08"/>
    <w:rsid w:val="00BF6266"/>
    <w:rsid w:val="00C06142"/>
    <w:rsid w:val="00C207D2"/>
    <w:rsid w:val="00C67339"/>
    <w:rsid w:val="00C849E3"/>
    <w:rsid w:val="00CA15BD"/>
    <w:rsid w:val="00D52C41"/>
    <w:rsid w:val="00DC3E10"/>
    <w:rsid w:val="00DE2CC1"/>
    <w:rsid w:val="00E27D98"/>
    <w:rsid w:val="00E34131"/>
    <w:rsid w:val="00EF4BC6"/>
    <w:rsid w:val="00F009C5"/>
    <w:rsid w:val="00F40AD0"/>
    <w:rsid w:val="00F57C4E"/>
    <w:rsid w:val="00FB31F2"/>
    <w:rsid w:val="00FF42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67D7D6EE-A6DD-4A48-AC74-A83132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E18"/>
    <w:pPr>
      <w:autoSpaceDE w:val="0"/>
      <w:autoSpaceDN w:val="0"/>
    </w:pPr>
    <w:rPr>
      <w:sz w:val="20"/>
      <w:szCs w:val="20"/>
    </w:rPr>
  </w:style>
  <w:style w:type="paragraph" w:styleId="Ttulo1">
    <w:name w:val="heading 1"/>
    <w:basedOn w:val="Normal"/>
    <w:next w:val="Normal"/>
    <w:link w:val="Ttulo1Char"/>
    <w:uiPriority w:val="99"/>
    <w:qFormat/>
    <w:rsid w:val="00764E18"/>
    <w:pPr>
      <w:keepNext/>
      <w:ind w:left="3762" w:right="-376"/>
      <w:jc w:val="both"/>
      <w:outlineLvl w:val="0"/>
    </w:pPr>
    <w:rPr>
      <w:rFonts w:ascii="Arial" w:hAnsi="Arial" w:cs="Arial"/>
      <w:b/>
      <w:bCs/>
      <w:sz w:val="24"/>
      <w:szCs w:val="24"/>
    </w:rPr>
  </w:style>
  <w:style w:type="paragraph" w:styleId="Ttulo2">
    <w:name w:val="heading 2"/>
    <w:basedOn w:val="Normal"/>
    <w:next w:val="Normal"/>
    <w:link w:val="Ttulo2Char"/>
    <w:uiPriority w:val="99"/>
    <w:qFormat/>
    <w:rsid w:val="00764E18"/>
    <w:pPr>
      <w:keepNext/>
      <w:outlineLvl w:val="1"/>
    </w:pPr>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64E18"/>
    <w:rPr>
      <w:rFonts w:ascii="Cambria" w:hAnsi="Cambria" w:cs="Cambria"/>
      <w:b/>
      <w:bCs/>
      <w:kern w:val="32"/>
      <w:sz w:val="32"/>
      <w:szCs w:val="32"/>
    </w:rPr>
  </w:style>
  <w:style w:type="character" w:customStyle="1" w:styleId="Ttulo2Char">
    <w:name w:val="Título 2 Char"/>
    <w:basedOn w:val="Fontepargpadro"/>
    <w:link w:val="Ttulo2"/>
    <w:uiPriority w:val="99"/>
    <w:semiHidden/>
    <w:rsid w:val="00764E18"/>
    <w:rPr>
      <w:rFonts w:ascii="Cambria" w:hAnsi="Cambria" w:cs="Cambria"/>
      <w:b/>
      <w:bCs/>
      <w:i/>
      <w:iCs/>
      <w:sz w:val="28"/>
      <w:szCs w:val="28"/>
    </w:rPr>
  </w:style>
  <w:style w:type="table" w:styleId="Tabelacomgrade">
    <w:name w:val="Table Grid"/>
    <w:basedOn w:val="Tabelanormal"/>
    <w:uiPriority w:val="99"/>
    <w:rsid w:val="001A5003"/>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120CE3"/>
    <w:pPr>
      <w:autoSpaceDE/>
      <w:autoSpaceDN/>
      <w:spacing w:after="160" w:line="259" w:lineRule="auto"/>
      <w:ind w:left="720"/>
      <w:contextualSpacing/>
    </w:pPr>
    <w:rPr>
      <w:rFonts w:ascii="Calibri" w:hAnsi="Calibri" w:cs="Calibri"/>
      <w:sz w:val="22"/>
      <w:szCs w:val="22"/>
      <w:lang w:eastAsia="en-US"/>
    </w:rPr>
  </w:style>
  <w:style w:type="paragraph" w:styleId="Textodebalo">
    <w:name w:val="Balloon Text"/>
    <w:basedOn w:val="Normal"/>
    <w:link w:val="TextodebaloChar"/>
    <w:uiPriority w:val="99"/>
    <w:semiHidden/>
    <w:unhideWhenUsed/>
    <w:rsid w:val="003D7273"/>
    <w:rPr>
      <w:rFonts w:ascii="Segoe UI" w:hAnsi="Segoe UI" w:cs="Segoe UI"/>
      <w:sz w:val="18"/>
      <w:szCs w:val="18"/>
    </w:rPr>
  </w:style>
  <w:style w:type="character" w:customStyle="1" w:styleId="TextodebaloChar">
    <w:name w:val="Texto de balão Char"/>
    <w:basedOn w:val="Fontepargpadro"/>
    <w:link w:val="Textodebalo"/>
    <w:uiPriority w:val="99"/>
    <w:semiHidden/>
    <w:rsid w:val="003D7273"/>
    <w:rPr>
      <w:rFonts w:ascii="Segoe UI" w:hAnsi="Segoe UI" w:cs="Segoe UI"/>
      <w:sz w:val="18"/>
      <w:szCs w:val="18"/>
    </w:rPr>
  </w:style>
  <w:style w:type="paragraph" w:styleId="Cabealho">
    <w:name w:val="header"/>
    <w:basedOn w:val="Normal"/>
    <w:link w:val="CabealhoChar"/>
    <w:uiPriority w:val="99"/>
    <w:semiHidden/>
    <w:unhideWhenUsed/>
    <w:rsid w:val="000D75D5"/>
    <w:pPr>
      <w:tabs>
        <w:tab w:val="center" w:pos="4252"/>
        <w:tab w:val="right" w:pos="8504"/>
      </w:tabs>
    </w:pPr>
  </w:style>
  <w:style w:type="character" w:customStyle="1" w:styleId="CabealhoChar">
    <w:name w:val="Cabeçalho Char"/>
    <w:basedOn w:val="Fontepargpadro"/>
    <w:link w:val="Cabealho"/>
    <w:uiPriority w:val="99"/>
    <w:semiHidden/>
    <w:rsid w:val="000D75D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792030">
      <w:bodyDiv w:val="1"/>
      <w:marLeft w:val="0"/>
      <w:marRight w:val="0"/>
      <w:marTop w:val="0"/>
      <w:marBottom w:val="0"/>
      <w:divBdr>
        <w:top w:val="none" w:sz="0" w:space="0" w:color="auto"/>
        <w:left w:val="none" w:sz="0" w:space="0" w:color="auto"/>
        <w:bottom w:val="none" w:sz="0" w:space="0" w:color="auto"/>
        <w:right w:val="none" w:sz="0" w:space="0" w:color="auto"/>
      </w:divBdr>
    </w:div>
    <w:div w:id="1319190154">
      <w:bodyDiv w:val="1"/>
      <w:marLeft w:val="0"/>
      <w:marRight w:val="0"/>
      <w:marTop w:val="0"/>
      <w:marBottom w:val="0"/>
      <w:divBdr>
        <w:top w:val="none" w:sz="0" w:space="0" w:color="auto"/>
        <w:left w:val="none" w:sz="0" w:space="0" w:color="auto"/>
        <w:bottom w:val="none" w:sz="0" w:space="0" w:color="auto"/>
        <w:right w:val="none" w:sz="0" w:space="0" w:color="auto"/>
      </w:divBdr>
    </w:div>
    <w:div w:id="1697005746">
      <w:marLeft w:val="0"/>
      <w:marRight w:val="0"/>
      <w:marTop w:val="0"/>
      <w:marBottom w:val="0"/>
      <w:divBdr>
        <w:top w:val="none" w:sz="0" w:space="0" w:color="auto"/>
        <w:left w:val="none" w:sz="0" w:space="0" w:color="auto"/>
        <w:bottom w:val="none" w:sz="0" w:space="0" w:color="auto"/>
        <w:right w:val="none" w:sz="0" w:space="0" w:color="auto"/>
      </w:divBdr>
    </w:div>
    <w:div w:id="16970057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935</Words>
  <Characters>5049</Characters>
  <Application>Microsoft Office Word</Application>
  <DocSecurity>0</DocSecurity>
  <Lines>42</Lines>
  <Paragraphs>11</Paragraphs>
  <ScaleCrop>false</ScaleCrop>
  <Company>Camara Municipal Araraquara</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22</cp:revision>
  <cp:lastPrinted>2015-09-30T00:32:00Z</cp:lastPrinted>
  <dcterms:created xsi:type="dcterms:W3CDTF">2015-04-01T13:38:00Z</dcterms:created>
  <dcterms:modified xsi:type="dcterms:W3CDTF">2019-11-12T14:56:00Z</dcterms:modified>
</cp:coreProperties>
</file>