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Nº </w:t>
      </w:r>
      <w:r w:rsidR="004C04C8">
        <w:rPr>
          <w:rFonts w:asciiTheme="minorHAnsi" w:hAnsiTheme="minorHAnsi" w:cstheme="minorHAnsi"/>
          <w:b/>
          <w:sz w:val="32"/>
          <w:szCs w:val="32"/>
        </w:rPr>
        <w:t>3</w:t>
      </w:r>
      <w:r w:rsidR="008165DC">
        <w:rPr>
          <w:rFonts w:asciiTheme="minorHAnsi" w:hAnsiTheme="minorHAnsi" w:cstheme="minorHAnsi"/>
          <w:b/>
          <w:sz w:val="32"/>
          <w:szCs w:val="32"/>
        </w:rPr>
        <w:t>68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B5322">
        <w:rPr>
          <w:rFonts w:asciiTheme="minorHAnsi" w:hAnsiTheme="minorHAnsi" w:cstheme="minorHAnsi"/>
          <w:szCs w:val="24"/>
        </w:rPr>
        <w:t>Acresça-se novo § 1º ao art. 1º d</w:t>
      </w:r>
      <w:r w:rsidR="00424C94" w:rsidRPr="00C40948">
        <w:rPr>
          <w:rFonts w:asciiTheme="minorHAnsi" w:hAnsiTheme="minorHAnsi" w:cstheme="minorHAnsi"/>
          <w:szCs w:val="24"/>
        </w:rPr>
        <w:t xml:space="preserve">o Projeto de Lei nº </w:t>
      </w:r>
      <w:r w:rsidR="00EB5322">
        <w:rPr>
          <w:rFonts w:asciiTheme="minorHAnsi" w:hAnsiTheme="minorHAnsi" w:cstheme="minorHAnsi"/>
          <w:szCs w:val="24"/>
        </w:rPr>
        <w:t>3</w:t>
      </w:r>
      <w:r w:rsidR="008165DC">
        <w:rPr>
          <w:rFonts w:asciiTheme="minorHAnsi" w:hAnsiTheme="minorHAnsi" w:cstheme="minorHAnsi"/>
          <w:szCs w:val="24"/>
        </w:rPr>
        <w:t>68</w:t>
      </w:r>
      <w:r w:rsidR="00424C94" w:rsidRPr="00C40948">
        <w:rPr>
          <w:rFonts w:asciiTheme="minorHAnsi" w:hAnsiTheme="minorHAnsi" w:cstheme="minorHAnsi"/>
          <w:szCs w:val="24"/>
        </w:rPr>
        <w:t>/2019</w:t>
      </w:r>
      <w:r w:rsidR="00EB5322">
        <w:rPr>
          <w:rFonts w:asciiTheme="minorHAnsi" w:hAnsiTheme="minorHAnsi" w:cstheme="minorHAnsi"/>
          <w:szCs w:val="24"/>
        </w:rPr>
        <w:t>, renumerando-se o atua</w:t>
      </w:r>
      <w:r w:rsidR="008165DC">
        <w:rPr>
          <w:rFonts w:asciiTheme="minorHAnsi" w:hAnsiTheme="minorHAnsi" w:cstheme="minorHAnsi"/>
          <w:szCs w:val="24"/>
        </w:rPr>
        <w:t>l</w:t>
      </w:r>
      <w:r w:rsidR="00EB5322">
        <w:rPr>
          <w:rFonts w:asciiTheme="minorHAnsi" w:hAnsiTheme="minorHAnsi" w:cstheme="minorHAnsi"/>
          <w:szCs w:val="24"/>
        </w:rPr>
        <w:t xml:space="preserve"> </w:t>
      </w:r>
      <w:r w:rsidR="008165DC">
        <w:rPr>
          <w:rFonts w:asciiTheme="minorHAnsi" w:hAnsiTheme="minorHAnsi" w:cstheme="minorHAnsi"/>
          <w:szCs w:val="24"/>
        </w:rPr>
        <w:t>parágrafo único</w:t>
      </w:r>
      <w:r w:rsidR="00EB5322">
        <w:rPr>
          <w:rFonts w:asciiTheme="minorHAnsi" w:hAnsiTheme="minorHAnsi" w:cstheme="minorHAnsi"/>
          <w:szCs w:val="24"/>
        </w:rPr>
        <w:t xml:space="preserve"> para § 2º,</w:t>
      </w:r>
      <w:r w:rsidR="00424C94" w:rsidRPr="00C40948">
        <w:rPr>
          <w:rFonts w:asciiTheme="minorHAnsi" w:hAnsiTheme="minorHAnsi" w:cstheme="minorHAnsi"/>
          <w:szCs w:val="24"/>
        </w:rPr>
        <w:t xml:space="preserve"> </w:t>
      </w:r>
      <w:r w:rsidR="00EB5322">
        <w:rPr>
          <w:rFonts w:asciiTheme="minorHAnsi" w:hAnsiTheme="minorHAnsi" w:cstheme="minorHAnsi"/>
          <w:szCs w:val="24"/>
        </w:rPr>
        <w:t xml:space="preserve">com </w:t>
      </w:r>
      <w:r w:rsidR="00424C94" w:rsidRPr="00C40948">
        <w:rPr>
          <w:rFonts w:asciiTheme="minorHAnsi" w:hAnsiTheme="minorHAnsi" w:cstheme="minorHAnsi"/>
          <w:szCs w:val="24"/>
        </w:rPr>
        <w:t>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EB5322" w:rsidRDefault="00EF17F5" w:rsidP="005932FD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EB5322">
        <w:rPr>
          <w:rFonts w:asciiTheme="minorHAnsi" w:hAnsiTheme="minorHAnsi" w:cstheme="minorHAnsi"/>
          <w:szCs w:val="24"/>
        </w:rPr>
        <w:t>Art. 1</w:t>
      </w:r>
      <w:proofErr w:type="gramStart"/>
      <w:r w:rsidR="005932FD" w:rsidRPr="005932FD">
        <w:rPr>
          <w:rFonts w:asciiTheme="minorHAnsi" w:hAnsiTheme="minorHAnsi" w:cstheme="minorHAnsi"/>
          <w:szCs w:val="24"/>
        </w:rPr>
        <w:t>º  .</w:t>
      </w:r>
      <w:r w:rsidR="00EB5322">
        <w:rPr>
          <w:rFonts w:asciiTheme="minorHAnsi" w:hAnsiTheme="minorHAnsi" w:cstheme="minorHAnsi"/>
          <w:szCs w:val="24"/>
        </w:rPr>
        <w:t>..................................................................................................</w:t>
      </w:r>
      <w:proofErr w:type="gramEnd"/>
    </w:p>
    <w:p w:rsidR="00C40948" w:rsidRPr="00C40948" w:rsidRDefault="00EB5322" w:rsidP="005932FD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1º  O imóvel mencionado no “caput” deste artigo é assim descrito: “</w:t>
      </w:r>
      <w:r w:rsidR="008165DC">
        <w:rPr>
          <w:rFonts w:asciiTheme="minorHAnsi" w:hAnsiTheme="minorHAnsi" w:cstheme="minorHAnsi"/>
          <w:szCs w:val="24"/>
        </w:rPr>
        <w:t xml:space="preserve">Área ‘C’ do desmembramento da quadra ‘G’ do loteamento Jardim Guanabara, em Araraquara, medindo 14,39 metros de frente para a Rua Capitão José Sabino Sampaio; do lado direito de quem olha para o imóvel de frente mede 35,44 metros onde confronta com a Área ‘B’ (M.110.125); do lado esquerdo mede 13,06 metros em curva de concordância (desenvolvimento), onde confronta com a confluência do alinhamento predial da Rua Capitão José Sabino Sampaio com a Faixa de Servidão ‘2’ da CPFL; daí segue por 24,80 </w:t>
      </w:r>
      <w:proofErr w:type="spellStart"/>
      <w:r w:rsidR="008165DC">
        <w:rPr>
          <w:rFonts w:asciiTheme="minorHAnsi" w:hAnsiTheme="minorHAnsi" w:cstheme="minorHAnsi"/>
          <w:szCs w:val="24"/>
        </w:rPr>
        <w:t>mtros</w:t>
      </w:r>
      <w:proofErr w:type="spellEnd"/>
      <w:r w:rsidR="008165DC">
        <w:rPr>
          <w:rFonts w:asciiTheme="minorHAnsi" w:hAnsiTheme="minorHAnsi" w:cstheme="minorHAnsi"/>
          <w:szCs w:val="24"/>
        </w:rPr>
        <w:t xml:space="preserve"> em linha reta onde confronta com a Faixa de Servidão ‘2’ da CPFL; e 22,07 metros na linha dos fundos, onde confronta com a Área ‘A’ (M.110.124), encerrando 734,86 m</w:t>
      </w:r>
      <w:r w:rsidR="008165DC">
        <w:rPr>
          <w:rFonts w:asciiTheme="minorHAnsi" w:hAnsiTheme="minorHAnsi" w:cstheme="minorHAnsi"/>
          <w:szCs w:val="24"/>
          <w:vertAlign w:val="superscript"/>
        </w:rPr>
        <w:t>2</w:t>
      </w:r>
      <w:r>
        <w:rPr>
          <w:rFonts w:asciiTheme="minorHAnsi" w:hAnsiTheme="minorHAnsi" w:cstheme="minorHAnsi"/>
          <w:szCs w:val="24"/>
        </w:rPr>
        <w:t>.</w:t>
      </w:r>
      <w:r w:rsidR="00C40948">
        <w:rPr>
          <w:rFonts w:asciiTheme="minorHAnsi" w:hAnsiTheme="minorHAnsi" w:cstheme="minorHAnsi"/>
          <w:szCs w:val="24"/>
        </w:rPr>
        <w:t>”</w:t>
      </w:r>
      <w:bookmarkStart w:id="0" w:name="_GoBack"/>
      <w:bookmarkEnd w:id="0"/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67" w:rsidRDefault="00837967" w:rsidP="00126850">
      <w:pPr>
        <w:spacing w:line="240" w:lineRule="auto"/>
      </w:pPr>
      <w:r>
        <w:separator/>
      </w:r>
    </w:p>
  </w:endnote>
  <w:endnote w:type="continuationSeparator" w:id="0">
    <w:p w:rsidR="00837967" w:rsidRDefault="0083796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67" w:rsidRDefault="00837967" w:rsidP="00126850">
      <w:pPr>
        <w:spacing w:line="240" w:lineRule="auto"/>
      </w:pPr>
      <w:r>
        <w:separator/>
      </w:r>
    </w:p>
  </w:footnote>
  <w:footnote w:type="continuationSeparator" w:id="0">
    <w:p w:rsidR="00837967" w:rsidRDefault="0083796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DB3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165DC"/>
    <w:rsid w:val="0082212A"/>
    <w:rsid w:val="00837967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6769-963D-4BB7-A9CB-CA857405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2018-08-28T16:46:00Z</cp:lastPrinted>
  <dcterms:created xsi:type="dcterms:W3CDTF">2019-11-08T12:10:00Z</dcterms:created>
  <dcterms:modified xsi:type="dcterms:W3CDTF">2019-11-08T12:15:00Z</dcterms:modified>
</cp:coreProperties>
</file>