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137FFD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33E55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ED0F2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E8AA2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249F5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ADBF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489C4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FDE2D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020F7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67197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D52B7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D1D67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2E48D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BDAC1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7C5F8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>
        <w:rPr>
          <w:rFonts w:ascii="Calibri" w:eastAsia="Arial Unicode MS" w:hAnsi="Calibri" w:cs="Calibri"/>
          <w:b/>
          <w:sz w:val="24"/>
          <w:szCs w:val="24"/>
        </w:rPr>
        <w:t>0</w:t>
      </w:r>
      <w:r w:rsidR="00043C12">
        <w:rPr>
          <w:rFonts w:ascii="Calibri" w:eastAsia="Arial Unicode MS" w:hAnsi="Calibri" w:cs="Calibri"/>
          <w:b/>
          <w:sz w:val="24"/>
          <w:szCs w:val="24"/>
        </w:rPr>
        <w:t>36</w:t>
      </w:r>
      <w:r w:rsidR="0084348E">
        <w:rPr>
          <w:rFonts w:ascii="Calibri" w:eastAsia="Arial Unicode MS" w:hAnsi="Calibri" w:cs="Calibri"/>
          <w:b/>
          <w:sz w:val="24"/>
          <w:szCs w:val="24"/>
        </w:rPr>
        <w:t>3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</w:t>
      </w:r>
      <w:r w:rsidR="00F32AA3">
        <w:rPr>
          <w:rFonts w:ascii="Calibri" w:eastAsia="Arial Unicode MS" w:hAnsi="Calibri" w:cs="Calibri"/>
          <w:sz w:val="24"/>
          <w:szCs w:val="24"/>
        </w:rPr>
        <w:t xml:space="preserve">                          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F32AA3">
        <w:rPr>
          <w:rFonts w:ascii="Calibri" w:eastAsia="Arial Unicode MS" w:hAnsi="Calibri" w:cs="Calibri"/>
          <w:sz w:val="24"/>
          <w:szCs w:val="24"/>
        </w:rPr>
        <w:t>07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43C12">
        <w:rPr>
          <w:rFonts w:ascii="Calibri" w:eastAsia="Arial Unicode MS" w:hAnsi="Calibri" w:cs="Calibri"/>
          <w:sz w:val="24"/>
          <w:szCs w:val="24"/>
        </w:rPr>
        <w:t xml:space="preserve">novembro </w:t>
      </w:r>
      <w:r w:rsidR="00F32AA3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Pr="00152474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4348E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043C12" w:rsidRDefault="00275F8F" w:rsidP="00043C12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</w:t>
      </w:r>
      <w:r w:rsidR="00F32AA3">
        <w:rPr>
          <w:rFonts w:ascii="Calibri" w:hAnsi="Calibri" w:cs="Calibri"/>
          <w:color w:val="000000"/>
          <w:sz w:val="24"/>
          <w:szCs w:val="24"/>
        </w:rPr>
        <w:t xml:space="preserve"> Complementar </w:t>
      </w:r>
      <w:r w:rsidRPr="0024517B">
        <w:rPr>
          <w:rFonts w:ascii="Calibri" w:hAnsi="Calibri" w:cs="Calibri"/>
          <w:color w:val="000000"/>
          <w:sz w:val="24"/>
          <w:szCs w:val="24"/>
        </w:rPr>
        <w:t xml:space="preserve">que </w:t>
      </w:r>
      <w:r w:rsidR="005A4E7A">
        <w:rPr>
          <w:rFonts w:ascii="Calibri" w:hAnsi="Calibri" w:cs="Calibri"/>
          <w:color w:val="000000"/>
          <w:sz w:val="24"/>
          <w:szCs w:val="24"/>
        </w:rPr>
        <w:t>a</w:t>
      </w:r>
      <w:r w:rsidR="005A4E7A" w:rsidRPr="005A4E7A">
        <w:rPr>
          <w:rFonts w:ascii="Calibri" w:hAnsi="Calibri" w:cs="Calibri"/>
          <w:color w:val="000000"/>
          <w:sz w:val="24"/>
          <w:szCs w:val="24"/>
        </w:rPr>
        <w:t xml:space="preserve">ltera a Lei </w:t>
      </w:r>
      <w:r w:rsidR="00F32AA3">
        <w:rPr>
          <w:rFonts w:ascii="Calibri" w:hAnsi="Calibri" w:cs="Calibri"/>
          <w:color w:val="000000"/>
          <w:sz w:val="24"/>
          <w:szCs w:val="24"/>
        </w:rPr>
        <w:t xml:space="preserve">Complementar </w:t>
      </w:r>
      <w:r w:rsidR="005A4E7A" w:rsidRPr="005A4E7A">
        <w:rPr>
          <w:rFonts w:ascii="Calibri" w:hAnsi="Calibri" w:cs="Calibri"/>
          <w:color w:val="000000"/>
          <w:sz w:val="24"/>
          <w:szCs w:val="24"/>
        </w:rPr>
        <w:t xml:space="preserve">nº </w:t>
      </w:r>
      <w:r w:rsidR="00B31131">
        <w:rPr>
          <w:rFonts w:ascii="Calibri" w:hAnsi="Calibri" w:cs="Calibri"/>
          <w:color w:val="000000"/>
          <w:sz w:val="24"/>
          <w:szCs w:val="24"/>
        </w:rPr>
        <w:t>9</w:t>
      </w:r>
      <w:r w:rsidR="00F32AA3">
        <w:rPr>
          <w:rFonts w:ascii="Calibri" w:hAnsi="Calibri" w:cs="Calibri"/>
          <w:color w:val="000000"/>
          <w:sz w:val="24"/>
          <w:szCs w:val="24"/>
        </w:rPr>
        <w:t>11</w:t>
      </w:r>
      <w:r w:rsidR="00BD27F3">
        <w:rPr>
          <w:rFonts w:ascii="Calibri" w:hAnsi="Calibri" w:cs="Calibri"/>
          <w:color w:val="000000"/>
          <w:sz w:val="24"/>
          <w:szCs w:val="24"/>
        </w:rPr>
        <w:t>, de 2</w:t>
      </w:r>
      <w:r w:rsidR="00F32AA3">
        <w:rPr>
          <w:rFonts w:ascii="Calibri" w:hAnsi="Calibri" w:cs="Calibri"/>
          <w:color w:val="000000"/>
          <w:sz w:val="24"/>
          <w:szCs w:val="24"/>
        </w:rPr>
        <w:t>6</w:t>
      </w:r>
      <w:r w:rsidR="00BD27F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F32AA3">
        <w:rPr>
          <w:rFonts w:ascii="Calibri" w:hAnsi="Calibri" w:cs="Calibri"/>
          <w:color w:val="000000"/>
          <w:sz w:val="24"/>
          <w:szCs w:val="24"/>
        </w:rPr>
        <w:t>agosto de 2019</w:t>
      </w:r>
      <w:r w:rsidR="0038446C">
        <w:rPr>
          <w:rFonts w:ascii="Calibri" w:hAnsi="Calibri" w:cs="Calibri"/>
          <w:color w:val="000000"/>
          <w:sz w:val="24"/>
          <w:szCs w:val="24"/>
        </w:rPr>
        <w:t>,</w:t>
      </w:r>
      <w:r w:rsidR="00F32AA3">
        <w:rPr>
          <w:rFonts w:ascii="Calibri" w:hAnsi="Calibri" w:cs="Calibri"/>
          <w:sz w:val="24"/>
          <w:szCs w:val="24"/>
        </w:rPr>
        <w:t xml:space="preserve"> alterando pontualmente dispositivos, revogando o Anexo Único e inserindo o Anexo </w:t>
      </w:r>
      <w:proofErr w:type="spellStart"/>
      <w:r w:rsidR="00F32AA3">
        <w:rPr>
          <w:rFonts w:ascii="Calibri" w:hAnsi="Calibri" w:cs="Calibri"/>
          <w:sz w:val="24"/>
          <w:szCs w:val="24"/>
        </w:rPr>
        <w:t>Único-A</w:t>
      </w:r>
      <w:proofErr w:type="spellEnd"/>
      <w:r w:rsidR="0038446C">
        <w:rPr>
          <w:rFonts w:ascii="Calibri" w:hAnsi="Calibri" w:cs="Calibri"/>
          <w:sz w:val="24"/>
          <w:szCs w:val="24"/>
        </w:rPr>
        <w:t>.</w:t>
      </w:r>
    </w:p>
    <w:p w:rsidR="009631DA" w:rsidRDefault="00992790" w:rsidP="00043C12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As alterações em voga se fazem necessárias posto que, diante da execução da Lei Complementar nº 911, de 26 de agosto de 2019, eclodiram questões importantes </w:t>
      </w:r>
      <w:r w:rsidR="003168B1">
        <w:rPr>
          <w:rFonts w:ascii="Calibri" w:hAnsi="Calibri" w:cs="Calibri"/>
          <w:sz w:val="24"/>
          <w:szCs w:val="24"/>
        </w:rPr>
        <w:t xml:space="preserve">que prescindem de reformulação para melhor aplicabilidade do importante Programa Habitacional Organização de Construção da Autogestão (OCA). </w:t>
      </w:r>
    </w:p>
    <w:p w:rsidR="00275F8F" w:rsidRPr="00BE4DA8" w:rsidRDefault="00275F8F" w:rsidP="00043C12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4C6144" w:rsidRDefault="004C6144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 xml:space="preserve">ROJETO DE LEI </w:t>
      </w:r>
      <w:r w:rsidR="000755F5">
        <w:rPr>
          <w:rFonts w:ascii="Calibri" w:hAnsi="Calibri" w:cs="Calibri"/>
          <w:b/>
          <w:sz w:val="24"/>
          <w:szCs w:val="24"/>
          <w:u w:val="single"/>
        </w:rPr>
        <w:t xml:space="preserve">COMPLEMENTAR 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152474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152474">
        <w:rPr>
          <w:rFonts w:ascii="Calibri" w:hAnsi="Calibri" w:cs="Calibri"/>
          <w:sz w:val="24"/>
          <w:szCs w:val="24"/>
        </w:rPr>
        <w:t xml:space="preserve">Altera </w:t>
      </w:r>
      <w:r w:rsidR="00B31131">
        <w:rPr>
          <w:rFonts w:ascii="Calibri" w:hAnsi="Calibri" w:cs="Calibri"/>
          <w:sz w:val="24"/>
          <w:szCs w:val="24"/>
        </w:rPr>
        <w:t xml:space="preserve">a </w:t>
      </w:r>
      <w:r w:rsidR="00917FC0" w:rsidRPr="00917FC0">
        <w:rPr>
          <w:rFonts w:ascii="Calibri" w:hAnsi="Calibri" w:cs="Calibri"/>
          <w:sz w:val="24"/>
          <w:szCs w:val="24"/>
        </w:rPr>
        <w:t>Lei Complementar nº 911, de 26 de agosto de 2019</w:t>
      </w:r>
      <w:r w:rsidR="00917FC0">
        <w:rPr>
          <w:rFonts w:ascii="Calibri" w:hAnsi="Calibri" w:cs="Calibri"/>
          <w:sz w:val="24"/>
          <w:szCs w:val="24"/>
        </w:rPr>
        <w:t xml:space="preserve">, </w:t>
      </w:r>
      <w:r w:rsidR="00043C12">
        <w:rPr>
          <w:rFonts w:ascii="Calibri" w:hAnsi="Calibri" w:cs="Calibri"/>
          <w:sz w:val="24"/>
          <w:szCs w:val="24"/>
        </w:rPr>
        <w:t>e dá outra providência</w:t>
      </w:r>
      <w:r w:rsidR="008875B5">
        <w:rPr>
          <w:rFonts w:ascii="Calibri" w:hAnsi="Calibri" w:cs="Calibri"/>
          <w:sz w:val="24"/>
          <w:szCs w:val="24"/>
        </w:rPr>
        <w:t>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9018E9" w:rsidRDefault="00EA1A2E" w:rsidP="00B31131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9018E9">
        <w:rPr>
          <w:rFonts w:ascii="Calibri" w:hAnsi="Calibri"/>
          <w:sz w:val="24"/>
          <w:szCs w:val="24"/>
        </w:rPr>
        <w:t xml:space="preserve">A </w:t>
      </w:r>
      <w:r w:rsidR="00D469F2" w:rsidRPr="00D469F2">
        <w:rPr>
          <w:rFonts w:ascii="Calibri" w:hAnsi="Calibri"/>
          <w:sz w:val="24"/>
          <w:szCs w:val="24"/>
        </w:rPr>
        <w:t>Lei Complementar nº 911, de 26 de agosto de 2019</w:t>
      </w:r>
      <w:r w:rsidR="009018E9">
        <w:rPr>
          <w:rFonts w:ascii="Calibri" w:hAnsi="Calibri"/>
          <w:sz w:val="24"/>
          <w:szCs w:val="24"/>
        </w:rPr>
        <w:t xml:space="preserve"> passa a vigorar com as seguintes alterações</w:t>
      </w:r>
      <w:r w:rsidR="00B86940">
        <w:rPr>
          <w:rFonts w:ascii="Calibri" w:hAnsi="Calibri"/>
          <w:sz w:val="24"/>
          <w:szCs w:val="24"/>
        </w:rPr>
        <w:t>:</w:t>
      </w:r>
    </w:p>
    <w:p w:rsidR="00D469F2" w:rsidRDefault="009018E9" w:rsidP="00D469F2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4"/>
          <w:szCs w:val="24"/>
        </w:rPr>
        <w:t>“</w:t>
      </w:r>
      <w:r>
        <w:rPr>
          <w:rFonts w:ascii="Calibri" w:hAnsi="Calibri"/>
          <w:sz w:val="22"/>
          <w:szCs w:val="24"/>
        </w:rPr>
        <w:t xml:space="preserve">Art. </w:t>
      </w:r>
      <w:r w:rsidR="00D469F2">
        <w:rPr>
          <w:rFonts w:ascii="Calibri" w:hAnsi="Calibri"/>
          <w:sz w:val="22"/>
          <w:szCs w:val="24"/>
        </w:rPr>
        <w:t>4</w:t>
      </w:r>
      <w:r>
        <w:rPr>
          <w:rFonts w:ascii="Calibri" w:hAnsi="Calibri"/>
          <w:sz w:val="22"/>
          <w:szCs w:val="24"/>
        </w:rPr>
        <w:t xml:space="preserve">º </w:t>
      </w:r>
      <w:r w:rsidR="00D469F2" w:rsidRPr="00D469F2">
        <w:rPr>
          <w:rFonts w:ascii="Calibri" w:hAnsi="Calibri"/>
          <w:sz w:val="22"/>
          <w:szCs w:val="24"/>
        </w:rPr>
        <w:t xml:space="preserve">O Município fica autorizado, nos termos da alínea "f" do inciso I do art. 17 da Lei Federal n° 8.666, de 21 de junho de 1993, a proceder à Concessão de Direito Real de Uso (CDRU) dos lotes e glebas descritos no Anexo </w:t>
      </w:r>
      <w:proofErr w:type="spellStart"/>
      <w:r w:rsidR="00D469F2" w:rsidRPr="00D469F2">
        <w:rPr>
          <w:rFonts w:ascii="Calibri" w:hAnsi="Calibri"/>
          <w:sz w:val="22"/>
          <w:szCs w:val="24"/>
        </w:rPr>
        <w:t>Único</w:t>
      </w:r>
      <w:r w:rsidR="00D469F2">
        <w:rPr>
          <w:rFonts w:ascii="Calibri" w:hAnsi="Calibri"/>
          <w:sz w:val="22"/>
          <w:szCs w:val="24"/>
        </w:rPr>
        <w:t>-A</w:t>
      </w:r>
      <w:proofErr w:type="spellEnd"/>
      <w:r w:rsidR="00D469F2" w:rsidRPr="00D469F2">
        <w:rPr>
          <w:rFonts w:ascii="Calibri" w:hAnsi="Calibri"/>
          <w:sz w:val="22"/>
          <w:szCs w:val="24"/>
        </w:rPr>
        <w:t xml:space="preserve"> desta Lei complementar às famílias beneficiárias inscritas no cadastro habitacional, selecionadas de acordo com critérios e regras estabelecidos por esta lei complementar.</w:t>
      </w:r>
    </w:p>
    <w:p w:rsidR="00A83056" w:rsidRDefault="00A83056" w:rsidP="00D469F2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...........................................................................................................</w:t>
      </w:r>
    </w:p>
    <w:p w:rsidR="00A83056" w:rsidRDefault="00A83056" w:rsidP="00D469F2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Art. 6º ................................................................................................</w:t>
      </w:r>
    </w:p>
    <w:p w:rsidR="00BE549A" w:rsidRDefault="00BE549A" w:rsidP="00D469F2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 xml:space="preserve">I – </w:t>
      </w:r>
      <w:r w:rsidRPr="00BE549A">
        <w:rPr>
          <w:rFonts w:ascii="Calibri" w:hAnsi="Calibri"/>
          <w:sz w:val="22"/>
          <w:szCs w:val="24"/>
        </w:rPr>
        <w:t>comprovar 2 anos de residência, no mínimo, no município de Araraquara, atendendo às condições requeridas nas instruções normativas do programa</w:t>
      </w:r>
      <w:r>
        <w:rPr>
          <w:rFonts w:ascii="Calibri" w:hAnsi="Calibri"/>
          <w:sz w:val="22"/>
          <w:szCs w:val="24"/>
        </w:rPr>
        <w:t>;</w:t>
      </w:r>
    </w:p>
    <w:p w:rsidR="00A83056" w:rsidRDefault="00A83056" w:rsidP="00D469F2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...........................................................................................................</w:t>
      </w:r>
    </w:p>
    <w:p w:rsidR="00A83056" w:rsidRDefault="00A62439" w:rsidP="00D469F2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Parágrafo único.</w:t>
      </w:r>
      <w:r w:rsidR="00E44CE3">
        <w:rPr>
          <w:rFonts w:ascii="Calibri" w:hAnsi="Calibri"/>
          <w:sz w:val="22"/>
          <w:szCs w:val="24"/>
        </w:rPr>
        <w:t xml:space="preserve"> </w:t>
      </w:r>
      <w:r w:rsidR="00A83056">
        <w:rPr>
          <w:rFonts w:ascii="Calibri" w:hAnsi="Calibri"/>
          <w:sz w:val="22"/>
          <w:szCs w:val="24"/>
        </w:rPr>
        <w:t xml:space="preserve">As informações constantes do Cadastro Habitacional e do Cadastro Único devem ser compatíveis, sob </w:t>
      </w:r>
      <w:r w:rsidR="00E44CE3">
        <w:rPr>
          <w:rFonts w:ascii="Calibri" w:hAnsi="Calibri"/>
          <w:sz w:val="22"/>
          <w:szCs w:val="24"/>
        </w:rPr>
        <w:t xml:space="preserve">pena de gerar a </w:t>
      </w:r>
      <w:r w:rsidR="00A83056">
        <w:rPr>
          <w:rFonts w:ascii="Calibri" w:hAnsi="Calibri"/>
          <w:sz w:val="22"/>
          <w:szCs w:val="24"/>
        </w:rPr>
        <w:t>desclassificação</w:t>
      </w:r>
      <w:r w:rsidR="00E44CE3">
        <w:rPr>
          <w:rFonts w:ascii="Calibri" w:hAnsi="Calibri"/>
          <w:sz w:val="22"/>
          <w:szCs w:val="24"/>
        </w:rPr>
        <w:t xml:space="preserve"> do candidato</w:t>
      </w:r>
      <w:r w:rsidR="00A83056">
        <w:rPr>
          <w:rFonts w:ascii="Calibri" w:hAnsi="Calibri"/>
          <w:sz w:val="22"/>
          <w:szCs w:val="24"/>
        </w:rPr>
        <w:t>.</w:t>
      </w:r>
    </w:p>
    <w:p w:rsidR="00A83056" w:rsidRDefault="006F69C4" w:rsidP="00D469F2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...........................................................................................................</w:t>
      </w:r>
    </w:p>
    <w:p w:rsidR="006F69C4" w:rsidRDefault="006F69C4" w:rsidP="00D469F2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Art. 8º ................................................................................................</w:t>
      </w:r>
    </w:p>
    <w:p w:rsidR="006F69C4" w:rsidRDefault="006F69C4" w:rsidP="00D469F2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...........................................................................................................</w:t>
      </w:r>
    </w:p>
    <w:p w:rsidR="006F69C4" w:rsidRDefault="006F69C4" w:rsidP="00D469F2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 xml:space="preserve">Parágrafo único. Cada representante deverá ser indicado juntamente com um suplente oriundo do mesmo órgão. </w:t>
      </w:r>
    </w:p>
    <w:p w:rsidR="006F69C4" w:rsidRDefault="006F69C4" w:rsidP="00D469F2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lastRenderedPageBreak/>
        <w:t>Art. 9º ................................................................................................</w:t>
      </w:r>
    </w:p>
    <w:p w:rsidR="006F69C4" w:rsidRDefault="004E5D5D" w:rsidP="00D469F2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...........................................................................................................</w:t>
      </w:r>
    </w:p>
    <w:p w:rsidR="004E5D5D" w:rsidRDefault="004E5D5D" w:rsidP="00D469F2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 xml:space="preserve">IV – </w:t>
      </w:r>
      <w:r w:rsidRPr="004E5D5D">
        <w:rPr>
          <w:rFonts w:ascii="Calibri" w:hAnsi="Calibri"/>
          <w:sz w:val="22"/>
          <w:szCs w:val="24"/>
        </w:rPr>
        <w:t xml:space="preserve">existência de pessoa com mais de 60 (sessenta) anos no núcleo familiar: </w:t>
      </w:r>
      <w:r>
        <w:rPr>
          <w:rFonts w:ascii="Calibri" w:hAnsi="Calibri"/>
          <w:sz w:val="22"/>
          <w:szCs w:val="24"/>
        </w:rPr>
        <w:t>2 (dois</w:t>
      </w:r>
      <w:r w:rsidRPr="004E5D5D">
        <w:rPr>
          <w:rFonts w:ascii="Calibri" w:hAnsi="Calibri"/>
          <w:sz w:val="22"/>
          <w:szCs w:val="24"/>
        </w:rPr>
        <w:t>) ponto</w:t>
      </w:r>
      <w:r>
        <w:rPr>
          <w:rFonts w:ascii="Calibri" w:hAnsi="Calibri"/>
          <w:sz w:val="22"/>
          <w:szCs w:val="24"/>
        </w:rPr>
        <w:t>s</w:t>
      </w:r>
      <w:r w:rsidRPr="004E5D5D">
        <w:rPr>
          <w:rFonts w:ascii="Calibri" w:hAnsi="Calibri"/>
          <w:sz w:val="22"/>
          <w:szCs w:val="24"/>
        </w:rPr>
        <w:t>;</w:t>
      </w:r>
    </w:p>
    <w:p w:rsidR="009D2597" w:rsidRDefault="009D2597" w:rsidP="00D469F2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 xml:space="preserve">V – </w:t>
      </w:r>
      <w:r w:rsidRPr="009D2597">
        <w:rPr>
          <w:rFonts w:ascii="Calibri" w:hAnsi="Calibri"/>
          <w:sz w:val="22"/>
          <w:szCs w:val="24"/>
        </w:rPr>
        <w:t>existência de pessoa com deficiência no núcleo familiar: 2 (dois) pontos;</w:t>
      </w:r>
    </w:p>
    <w:p w:rsidR="009D2597" w:rsidRDefault="00640186" w:rsidP="00D469F2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 xml:space="preserve">VI – </w:t>
      </w:r>
      <w:r w:rsidRPr="00640186">
        <w:rPr>
          <w:rFonts w:ascii="Calibri" w:hAnsi="Calibri"/>
          <w:sz w:val="22"/>
          <w:szCs w:val="24"/>
        </w:rPr>
        <w:t>existência de pessoa com doença grave no núcleo familiar:</w:t>
      </w:r>
      <w:r>
        <w:rPr>
          <w:rFonts w:ascii="Calibri" w:hAnsi="Calibri"/>
          <w:sz w:val="22"/>
          <w:szCs w:val="24"/>
        </w:rPr>
        <w:t xml:space="preserve"> </w:t>
      </w:r>
      <w:r w:rsidRPr="00640186">
        <w:rPr>
          <w:rFonts w:ascii="Calibri" w:hAnsi="Calibri"/>
          <w:sz w:val="22"/>
          <w:szCs w:val="24"/>
        </w:rPr>
        <w:t>2 (dois) pontos;</w:t>
      </w:r>
    </w:p>
    <w:p w:rsidR="00640186" w:rsidRDefault="0076130E" w:rsidP="00D469F2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 xml:space="preserve">VII – </w:t>
      </w:r>
      <w:r w:rsidRPr="0076130E">
        <w:rPr>
          <w:rFonts w:ascii="Calibri" w:hAnsi="Calibri"/>
          <w:sz w:val="22"/>
          <w:szCs w:val="24"/>
        </w:rPr>
        <w:t>maior número de dependentes</w:t>
      </w:r>
      <w:r w:rsidR="00BE549A">
        <w:rPr>
          <w:rFonts w:ascii="Calibri" w:hAnsi="Calibri"/>
          <w:sz w:val="22"/>
          <w:szCs w:val="24"/>
        </w:rPr>
        <w:t xml:space="preserve"> com até 18 (dezoito</w:t>
      </w:r>
      <w:r>
        <w:rPr>
          <w:rFonts w:ascii="Calibri" w:hAnsi="Calibri"/>
          <w:sz w:val="22"/>
          <w:szCs w:val="24"/>
        </w:rPr>
        <w:t>) anos incompletos</w:t>
      </w:r>
      <w:r w:rsidRPr="0076130E">
        <w:rPr>
          <w:rFonts w:ascii="Calibri" w:hAnsi="Calibri"/>
          <w:sz w:val="22"/>
          <w:szCs w:val="24"/>
        </w:rPr>
        <w:t>: sendo 1 (um) ponto por dependente, devendo o dependente em idade escolar estar obrigatoriamente matriculado em instituição de ensino</w:t>
      </w:r>
      <w:r w:rsidR="00F1000A">
        <w:rPr>
          <w:rFonts w:ascii="Calibri" w:hAnsi="Calibri"/>
          <w:sz w:val="22"/>
          <w:szCs w:val="24"/>
        </w:rPr>
        <w:t>, ou ter ensino médio completo</w:t>
      </w:r>
      <w:r w:rsidRPr="0076130E">
        <w:rPr>
          <w:rFonts w:ascii="Calibri" w:hAnsi="Calibri"/>
          <w:sz w:val="22"/>
          <w:szCs w:val="24"/>
        </w:rPr>
        <w:t>;</w:t>
      </w:r>
    </w:p>
    <w:p w:rsidR="002F5C17" w:rsidRDefault="002F5C17" w:rsidP="00D469F2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 xml:space="preserve">VIII – </w:t>
      </w:r>
      <w:r w:rsidRPr="002F5C17">
        <w:rPr>
          <w:rFonts w:ascii="Calibri" w:hAnsi="Calibri"/>
          <w:sz w:val="22"/>
          <w:szCs w:val="24"/>
        </w:rPr>
        <w:t>moradia atual em condições de risco ambiental, físico ou geotécnico</w:t>
      </w:r>
      <w:r>
        <w:rPr>
          <w:rFonts w:ascii="Calibri" w:hAnsi="Calibri"/>
          <w:sz w:val="22"/>
          <w:szCs w:val="24"/>
        </w:rPr>
        <w:t>, atestado pela defesa civil</w:t>
      </w:r>
      <w:r w:rsidRPr="002F5C17">
        <w:rPr>
          <w:rFonts w:ascii="Calibri" w:hAnsi="Calibri"/>
          <w:sz w:val="22"/>
          <w:szCs w:val="24"/>
        </w:rPr>
        <w:t>: 3 (três) pontos</w:t>
      </w:r>
      <w:r>
        <w:rPr>
          <w:rFonts w:ascii="Calibri" w:hAnsi="Calibri"/>
          <w:sz w:val="22"/>
          <w:szCs w:val="24"/>
        </w:rPr>
        <w:t>;</w:t>
      </w:r>
    </w:p>
    <w:p w:rsidR="002F5C17" w:rsidRDefault="00000583" w:rsidP="00D469F2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 xml:space="preserve">IX – </w:t>
      </w:r>
      <w:r w:rsidRPr="00000583">
        <w:rPr>
          <w:rFonts w:ascii="Calibri" w:hAnsi="Calibri"/>
          <w:sz w:val="22"/>
          <w:szCs w:val="24"/>
        </w:rPr>
        <w:t>não possuir rede protetiva familia</w:t>
      </w:r>
      <w:r>
        <w:rPr>
          <w:rFonts w:ascii="Calibri" w:hAnsi="Calibri"/>
          <w:sz w:val="22"/>
          <w:szCs w:val="24"/>
        </w:rPr>
        <w:t>r: 1 (um) ponto</w:t>
      </w:r>
      <w:r w:rsidRPr="00000583">
        <w:rPr>
          <w:rFonts w:ascii="Calibri" w:hAnsi="Calibri"/>
          <w:sz w:val="22"/>
          <w:szCs w:val="24"/>
        </w:rPr>
        <w:t>;</w:t>
      </w:r>
    </w:p>
    <w:p w:rsidR="006E663F" w:rsidRDefault="006E663F" w:rsidP="00D469F2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X – ser usuário da rede protetiva</w:t>
      </w:r>
      <w:r w:rsidR="00E44CE3">
        <w:rPr>
          <w:rFonts w:ascii="Calibri" w:hAnsi="Calibri"/>
          <w:sz w:val="22"/>
          <w:szCs w:val="24"/>
        </w:rPr>
        <w:t xml:space="preserve"> pública ou privada</w:t>
      </w:r>
      <w:r>
        <w:rPr>
          <w:rFonts w:ascii="Calibri" w:hAnsi="Calibri"/>
          <w:sz w:val="22"/>
          <w:szCs w:val="24"/>
        </w:rPr>
        <w:t>: 2 (dois</w:t>
      </w:r>
      <w:r w:rsidRPr="006E663F">
        <w:rPr>
          <w:rFonts w:ascii="Calibri" w:hAnsi="Calibri"/>
          <w:sz w:val="22"/>
          <w:szCs w:val="24"/>
        </w:rPr>
        <w:t>) ponto</w:t>
      </w:r>
      <w:r>
        <w:rPr>
          <w:rFonts w:ascii="Calibri" w:hAnsi="Calibri"/>
          <w:sz w:val="22"/>
          <w:szCs w:val="24"/>
        </w:rPr>
        <w:t>s</w:t>
      </w:r>
      <w:r w:rsidRPr="006E663F">
        <w:rPr>
          <w:rFonts w:ascii="Calibri" w:hAnsi="Calibri"/>
          <w:sz w:val="22"/>
          <w:szCs w:val="24"/>
        </w:rPr>
        <w:t>;</w:t>
      </w:r>
    </w:p>
    <w:p w:rsidR="00D62233" w:rsidRDefault="00E634F9" w:rsidP="009018E9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XI – titular ou cônjuge</w:t>
      </w:r>
      <w:r w:rsidRPr="00E634F9">
        <w:rPr>
          <w:rFonts w:ascii="Calibri" w:hAnsi="Calibri"/>
          <w:sz w:val="22"/>
          <w:szCs w:val="24"/>
        </w:rPr>
        <w:t xml:space="preserve"> de família com mais de 40 (quarenta) anos: 2 (dois) pontos;</w:t>
      </w:r>
    </w:p>
    <w:p w:rsidR="00E634F9" w:rsidRDefault="00E634F9" w:rsidP="009018E9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...........................................................................................................</w:t>
      </w:r>
    </w:p>
    <w:p w:rsidR="00E634F9" w:rsidRDefault="00E634F9" w:rsidP="009018E9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 xml:space="preserve">XIV </w:t>
      </w:r>
      <w:r w:rsidR="00D86299">
        <w:rPr>
          <w:rFonts w:ascii="Calibri" w:hAnsi="Calibri"/>
          <w:sz w:val="22"/>
          <w:szCs w:val="24"/>
        </w:rPr>
        <w:t>–</w:t>
      </w:r>
      <w:r>
        <w:rPr>
          <w:rFonts w:ascii="Calibri" w:hAnsi="Calibri"/>
          <w:sz w:val="22"/>
          <w:szCs w:val="24"/>
        </w:rPr>
        <w:t xml:space="preserve"> </w:t>
      </w:r>
      <w:r w:rsidR="00D86299">
        <w:rPr>
          <w:rFonts w:ascii="Calibri" w:hAnsi="Calibri"/>
          <w:sz w:val="22"/>
          <w:szCs w:val="24"/>
        </w:rPr>
        <w:t>morar em condições de aluguel: 2 (dois) pontos.</w:t>
      </w:r>
    </w:p>
    <w:p w:rsidR="00C271D4" w:rsidRDefault="00C271D4" w:rsidP="009018E9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...........................................................................................................</w:t>
      </w:r>
    </w:p>
    <w:p w:rsidR="009018E9" w:rsidRPr="009018E9" w:rsidRDefault="00C271D4" w:rsidP="009018E9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§ 3</w:t>
      </w:r>
      <w:r w:rsidR="0038446C">
        <w:rPr>
          <w:rFonts w:ascii="Calibri" w:hAnsi="Calibri"/>
          <w:sz w:val="22"/>
          <w:szCs w:val="24"/>
        </w:rPr>
        <w:t>º</w:t>
      </w:r>
      <w:r w:rsidR="00D27486">
        <w:rPr>
          <w:rFonts w:ascii="Calibri" w:hAnsi="Calibri"/>
          <w:sz w:val="22"/>
          <w:szCs w:val="24"/>
        </w:rPr>
        <w:t xml:space="preserve"> O </w:t>
      </w:r>
      <w:r w:rsidR="00D27486" w:rsidRPr="00E44CE3">
        <w:rPr>
          <w:rFonts w:ascii="Calibri" w:hAnsi="Calibri"/>
          <w:sz w:val="22"/>
          <w:szCs w:val="22"/>
        </w:rPr>
        <w:t xml:space="preserve">Poder Executivo Municipal garantirá a participação no Programa </w:t>
      </w:r>
      <w:r w:rsidR="00D27486" w:rsidRPr="00E44CE3">
        <w:rPr>
          <w:rFonts w:ascii="Calibri" w:hAnsi="Calibri" w:cs="Calibri"/>
          <w:sz w:val="22"/>
          <w:szCs w:val="22"/>
        </w:rPr>
        <w:t xml:space="preserve">Habitacional Organização de Construção da Autogestão (OCA), com prioridade </w:t>
      </w:r>
      <w:r w:rsidR="00920EE1" w:rsidRPr="00E44CE3">
        <w:rPr>
          <w:rFonts w:ascii="Calibri" w:hAnsi="Calibri" w:cs="Calibri"/>
          <w:sz w:val="22"/>
          <w:szCs w:val="22"/>
        </w:rPr>
        <w:t>às famílias removidas de</w:t>
      </w:r>
      <w:r w:rsidR="00D27486" w:rsidRPr="00E44CE3">
        <w:rPr>
          <w:rFonts w:ascii="Calibri" w:hAnsi="Calibri" w:cs="Calibri"/>
          <w:sz w:val="22"/>
          <w:szCs w:val="22"/>
        </w:rPr>
        <w:t xml:space="preserve"> áreas de risco, de proteção ambiental</w:t>
      </w:r>
      <w:r w:rsidR="00D27486" w:rsidRPr="00E44CE3">
        <w:rPr>
          <w:rFonts w:ascii="Calibri" w:hAnsi="Calibri"/>
          <w:sz w:val="22"/>
          <w:szCs w:val="22"/>
        </w:rPr>
        <w:t xml:space="preserve"> e de ocupação, </w:t>
      </w:r>
      <w:r w:rsidR="00815059" w:rsidRPr="00E44CE3">
        <w:rPr>
          <w:rFonts w:ascii="Calibri" w:hAnsi="Calibri"/>
          <w:sz w:val="22"/>
          <w:szCs w:val="22"/>
        </w:rPr>
        <w:t xml:space="preserve">por meio de ação conjunta entre a Secretaria Municipal de Desenvolvimento Urbano, Secretaria Municipal de Desenvolvimento e Assistência Social, Departamento Autônomo de Água e Esgoto – DAAE, Secretaria </w:t>
      </w:r>
      <w:r w:rsidR="00815059" w:rsidRPr="00E44CE3">
        <w:rPr>
          <w:rFonts w:ascii="Calibri" w:hAnsi="Calibri"/>
          <w:sz w:val="22"/>
          <w:szCs w:val="22"/>
        </w:rPr>
        <w:lastRenderedPageBreak/>
        <w:t>Municipal de Trabalho e Desenvolvimento Econômico e Defesa</w:t>
      </w:r>
      <w:r w:rsidR="00815059">
        <w:rPr>
          <w:rFonts w:ascii="Calibri" w:hAnsi="Calibri"/>
          <w:sz w:val="22"/>
          <w:szCs w:val="24"/>
        </w:rPr>
        <w:t xml:space="preserve"> Civil</w:t>
      </w:r>
      <w:proofErr w:type="gramStart"/>
      <w:r w:rsidR="00815059">
        <w:rPr>
          <w:rFonts w:ascii="Calibri" w:hAnsi="Calibri"/>
          <w:sz w:val="22"/>
          <w:szCs w:val="24"/>
        </w:rPr>
        <w:t>.</w:t>
      </w:r>
      <w:r w:rsidR="008875B5" w:rsidRPr="008875B5">
        <w:rPr>
          <w:rFonts w:ascii="Calibri" w:hAnsi="Calibri"/>
          <w:sz w:val="24"/>
          <w:szCs w:val="24"/>
        </w:rPr>
        <w:t>”</w:t>
      </w:r>
      <w:r w:rsidR="008875B5">
        <w:rPr>
          <w:rFonts w:ascii="Calibri" w:hAnsi="Calibri"/>
          <w:sz w:val="24"/>
          <w:szCs w:val="24"/>
        </w:rPr>
        <w:t>(</w:t>
      </w:r>
      <w:proofErr w:type="gramEnd"/>
      <w:r w:rsidR="008875B5">
        <w:rPr>
          <w:rFonts w:ascii="Calibri" w:hAnsi="Calibri"/>
          <w:sz w:val="24"/>
          <w:szCs w:val="24"/>
        </w:rPr>
        <w:t>NR)</w:t>
      </w:r>
      <w:r w:rsidR="008875B5">
        <w:rPr>
          <w:rFonts w:ascii="Calibri" w:hAnsi="Calibri"/>
          <w:sz w:val="22"/>
          <w:szCs w:val="24"/>
        </w:rPr>
        <w:t xml:space="preserve"> </w:t>
      </w:r>
    </w:p>
    <w:p w:rsidR="001979CA" w:rsidRDefault="009018E9" w:rsidP="003546DF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Art. 2º </w:t>
      </w:r>
      <w:r w:rsidR="00A328A2">
        <w:rPr>
          <w:rFonts w:ascii="Calibri" w:hAnsi="Calibri"/>
          <w:sz w:val="24"/>
          <w:szCs w:val="24"/>
        </w:rPr>
        <w:t>Fica acrescido</w:t>
      </w:r>
      <w:r w:rsidR="001979CA">
        <w:rPr>
          <w:rFonts w:ascii="Calibri" w:hAnsi="Calibri"/>
          <w:sz w:val="24"/>
          <w:szCs w:val="24"/>
        </w:rPr>
        <w:t xml:space="preserve"> à Lei Complementar nº 911, de 2019,</w:t>
      </w:r>
      <w:r w:rsidR="00A328A2">
        <w:rPr>
          <w:rFonts w:ascii="Calibri" w:hAnsi="Calibri"/>
          <w:sz w:val="24"/>
          <w:szCs w:val="24"/>
        </w:rPr>
        <w:t xml:space="preserve"> o Anexo Único</w:t>
      </w:r>
      <w:r w:rsidR="001979CA">
        <w:rPr>
          <w:rFonts w:ascii="Calibri" w:hAnsi="Calibri"/>
          <w:sz w:val="24"/>
          <w:szCs w:val="24"/>
        </w:rPr>
        <w:t xml:space="preserve"> – </w:t>
      </w:r>
      <w:r w:rsidR="00A328A2">
        <w:rPr>
          <w:rFonts w:ascii="Calibri" w:hAnsi="Calibri"/>
          <w:sz w:val="24"/>
          <w:szCs w:val="24"/>
        </w:rPr>
        <w:t>A, com a seguinte redaç</w:t>
      </w:r>
      <w:r w:rsidR="001979CA">
        <w:rPr>
          <w:rFonts w:ascii="Calibri" w:hAnsi="Calibri"/>
          <w:sz w:val="24"/>
          <w:szCs w:val="24"/>
        </w:rPr>
        <w:t>ão:</w:t>
      </w:r>
    </w:p>
    <w:p w:rsidR="00F34684" w:rsidRPr="00F34684" w:rsidRDefault="001979CA" w:rsidP="00F34684">
      <w:pPr>
        <w:spacing w:before="120" w:after="120" w:line="360" w:lineRule="auto"/>
        <w:ind w:firstLine="2835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“</w:t>
      </w:r>
      <w:r w:rsidR="00F34684" w:rsidRPr="00F34684">
        <w:rPr>
          <w:rFonts w:ascii="Calibri" w:hAnsi="Calibri"/>
          <w:b/>
          <w:sz w:val="24"/>
          <w:szCs w:val="24"/>
        </w:rPr>
        <w:t xml:space="preserve">ANEXO ÚNICO – A </w:t>
      </w:r>
    </w:p>
    <w:p w:rsidR="00F34684" w:rsidRDefault="00F34684" w:rsidP="00F34684">
      <w:pPr>
        <w:spacing w:before="120" w:after="120" w:line="360" w:lineRule="auto"/>
        <w:ind w:firstLine="2835"/>
        <w:jc w:val="both"/>
        <w:rPr>
          <w:rFonts w:ascii="Calibri" w:hAnsi="Calibri"/>
          <w:b/>
          <w:sz w:val="24"/>
          <w:szCs w:val="24"/>
        </w:rPr>
      </w:pPr>
      <w:r w:rsidRPr="00F34684">
        <w:rPr>
          <w:rFonts w:ascii="Calibri" w:hAnsi="Calibri"/>
          <w:b/>
          <w:sz w:val="24"/>
          <w:szCs w:val="24"/>
        </w:rPr>
        <w:t xml:space="preserve">IMÓVEIS PARA CONCESSÃO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2383"/>
        <w:gridCol w:w="1179"/>
        <w:gridCol w:w="1559"/>
        <w:gridCol w:w="1559"/>
      </w:tblGrid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383" w:type="dxa"/>
            <w:tcBorders>
              <w:left w:val="single" w:sz="4" w:space="0" w:color="auto"/>
            </w:tcBorders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17765">
              <w:rPr>
                <w:rFonts w:ascii="Calibri" w:hAnsi="Calibri"/>
                <w:b/>
                <w:sz w:val="24"/>
                <w:szCs w:val="24"/>
              </w:rPr>
              <w:t>Localização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17765">
              <w:rPr>
                <w:rFonts w:ascii="Calibri" w:hAnsi="Calibri"/>
                <w:b/>
                <w:sz w:val="24"/>
                <w:szCs w:val="24"/>
              </w:rPr>
              <w:t xml:space="preserve">Matrícula 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17765">
              <w:rPr>
                <w:rFonts w:ascii="Calibri" w:hAnsi="Calibri"/>
                <w:b/>
                <w:sz w:val="24"/>
                <w:szCs w:val="24"/>
              </w:rPr>
              <w:t>Área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I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 xml:space="preserve">Av. Pedro Grecco – Parque Das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Hortencias</w:t>
            </w:r>
            <w:proofErr w:type="spellEnd"/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61.089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264,04 m²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II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 xml:space="preserve">R. Júlio Malara – </w:t>
            </w:r>
            <w:r w:rsidRPr="00C17765">
              <w:rPr>
                <w:rFonts w:asciiTheme="minorHAnsi" w:hAnsiTheme="minorHAnsi"/>
                <w:sz w:val="24"/>
                <w:szCs w:val="24"/>
              </w:rPr>
              <w:t>Jardim Nova Araraquara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33.951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367,78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III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Av. Marginal 2 - Jardim Santa Clara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59.060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250,87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IV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 xml:space="preserve">R. Engenheiro José Carlos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Blundi</w:t>
            </w:r>
            <w:proofErr w:type="spellEnd"/>
            <w:r w:rsidRPr="00C17765">
              <w:rPr>
                <w:rFonts w:ascii="Calibri" w:hAnsi="Calibri"/>
                <w:sz w:val="24"/>
                <w:szCs w:val="24"/>
              </w:rPr>
              <w:t xml:space="preserve"> - Parque das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Hortências</w:t>
            </w:r>
            <w:proofErr w:type="spellEnd"/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111.049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3.238,99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V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Av. Raphael Medina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121.258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5.408,23m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VI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Av. Oswaldo Lopes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121.259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5.434,80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VII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 xml:space="preserve">R. José Alves da Silva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Goes</w:t>
            </w:r>
            <w:proofErr w:type="spellEnd"/>
            <w:r w:rsidRPr="00C17765">
              <w:rPr>
                <w:rFonts w:ascii="Calibri" w:hAnsi="Calibri"/>
                <w:sz w:val="24"/>
                <w:szCs w:val="24"/>
              </w:rPr>
              <w:t xml:space="preserve"> - Vila Biagioni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75.115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383,85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VIII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 xml:space="preserve">Av.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Valkirio</w:t>
            </w:r>
            <w:proofErr w:type="spellEnd"/>
            <w:r w:rsidRPr="00C17765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Galeazzi</w:t>
            </w:r>
            <w:proofErr w:type="spellEnd"/>
            <w:r w:rsidRPr="00C17765">
              <w:rPr>
                <w:rFonts w:ascii="Calibri" w:hAnsi="Calibri"/>
                <w:sz w:val="24"/>
                <w:szCs w:val="24"/>
              </w:rPr>
              <w:t xml:space="preserve"> - Jardim Roberto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Selmi</w:t>
            </w:r>
            <w:proofErr w:type="spellEnd"/>
            <w:r w:rsidRPr="00C17765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Dey</w:t>
            </w:r>
            <w:proofErr w:type="spellEnd"/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118.882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30.523,12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IX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 xml:space="preserve">Jurandir Rios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Garçoni</w:t>
            </w:r>
            <w:proofErr w:type="spellEnd"/>
            <w:r w:rsidRPr="00C17765">
              <w:rPr>
                <w:rFonts w:ascii="Calibri" w:hAnsi="Calibri"/>
                <w:sz w:val="24"/>
                <w:szCs w:val="24"/>
              </w:rPr>
              <w:t xml:space="preserve"> - Parque das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Hortências</w:t>
            </w:r>
            <w:proofErr w:type="spellEnd"/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61.709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225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X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 xml:space="preserve">Maria Luiza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Baschix</w:t>
            </w:r>
            <w:proofErr w:type="spellEnd"/>
            <w:r w:rsidRPr="00C17765">
              <w:rPr>
                <w:rFonts w:ascii="Calibri" w:hAnsi="Calibri"/>
                <w:sz w:val="24"/>
                <w:szCs w:val="24"/>
              </w:rPr>
              <w:t xml:space="preserve"> - Vila Biagioni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75.116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255,80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XI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 xml:space="preserve">R. Dr. Paulo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Iannotti</w:t>
            </w:r>
            <w:proofErr w:type="spellEnd"/>
            <w:r w:rsidRPr="00C17765">
              <w:rPr>
                <w:rFonts w:ascii="Calibri" w:hAnsi="Calibri"/>
                <w:sz w:val="24"/>
                <w:szCs w:val="24"/>
              </w:rPr>
              <w:t xml:space="preserve"> - Jardim Adalberto Frederico de Oliveira Roxo II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116.534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180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XII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 xml:space="preserve">Av.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Arib</w:t>
            </w:r>
            <w:proofErr w:type="spellEnd"/>
            <w:r w:rsidRPr="00C17765">
              <w:rPr>
                <w:rFonts w:ascii="Calibri" w:hAnsi="Calibri"/>
                <w:sz w:val="24"/>
                <w:szCs w:val="24"/>
              </w:rPr>
              <w:t xml:space="preserve"> Nasser – Parque das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Hortências</w:t>
            </w:r>
            <w:proofErr w:type="spellEnd"/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61.686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320,12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XIII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R. 11 – Jardim Adalberto Frederico de Oliveira Roxo II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76.751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180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lastRenderedPageBreak/>
              <w:t>XIV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 xml:space="preserve">Av. Renato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Santini</w:t>
            </w:r>
            <w:proofErr w:type="spellEnd"/>
            <w:r w:rsidRPr="00C17765">
              <w:rPr>
                <w:rFonts w:ascii="Calibri" w:hAnsi="Calibri"/>
                <w:sz w:val="24"/>
                <w:szCs w:val="24"/>
              </w:rPr>
              <w:t xml:space="preserve"> - Parque das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Hortências</w:t>
            </w:r>
            <w:proofErr w:type="spellEnd"/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61.495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225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XV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 xml:space="preserve">Av. Remo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Frontarolli</w:t>
            </w:r>
            <w:proofErr w:type="spellEnd"/>
            <w:r w:rsidRPr="00C17765">
              <w:rPr>
                <w:rFonts w:ascii="Calibri" w:hAnsi="Calibri"/>
                <w:sz w:val="24"/>
                <w:szCs w:val="24"/>
              </w:rPr>
              <w:t xml:space="preserve"> - Parque das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Hortências</w:t>
            </w:r>
            <w:proofErr w:type="spellEnd"/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61.503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225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XVI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 xml:space="preserve">Av. Remo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Frontarolli</w:t>
            </w:r>
            <w:proofErr w:type="spellEnd"/>
            <w:r w:rsidRPr="00C17765">
              <w:rPr>
                <w:rFonts w:ascii="Calibri" w:hAnsi="Calibri"/>
                <w:sz w:val="24"/>
                <w:szCs w:val="24"/>
              </w:rPr>
              <w:t xml:space="preserve"> - Parque das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Hortências</w:t>
            </w:r>
            <w:proofErr w:type="spellEnd"/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61.512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225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XVII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 xml:space="preserve">Avenida Remo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Frontarolli</w:t>
            </w:r>
            <w:proofErr w:type="spellEnd"/>
            <w:r w:rsidRPr="00C17765">
              <w:rPr>
                <w:rFonts w:ascii="Calibri" w:hAnsi="Calibri"/>
                <w:sz w:val="24"/>
                <w:szCs w:val="24"/>
              </w:rPr>
              <w:t xml:space="preserve"> - Parque das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Hortências</w:t>
            </w:r>
            <w:proofErr w:type="spellEnd"/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61.498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225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XVIII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 xml:space="preserve">R.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Ermelinda</w:t>
            </w:r>
            <w:proofErr w:type="spellEnd"/>
            <w:r w:rsidRPr="00C17765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Pacini</w:t>
            </w:r>
            <w:proofErr w:type="spellEnd"/>
            <w:r w:rsidRPr="00C17765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Sgobbi</w:t>
            </w:r>
            <w:proofErr w:type="spellEnd"/>
            <w:r w:rsidRPr="00C17765">
              <w:rPr>
                <w:rFonts w:ascii="Calibri" w:hAnsi="Calibri"/>
                <w:sz w:val="24"/>
                <w:szCs w:val="24"/>
              </w:rPr>
              <w:t xml:space="preserve"> - Jardim Adalberto Frederico de Oliveira Roxo II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116.517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180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XIX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 xml:space="preserve">R. Silvio de Jorge e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Angelo</w:t>
            </w:r>
            <w:proofErr w:type="spellEnd"/>
            <w:r w:rsidRPr="00C17765">
              <w:rPr>
                <w:rFonts w:ascii="Calibri" w:hAnsi="Calibri"/>
                <w:sz w:val="24"/>
                <w:szCs w:val="24"/>
              </w:rPr>
              <w:t xml:space="preserve"> Salata;</w:t>
            </w:r>
          </w:p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Av. Bandeirantes e Prudente de Morais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118.264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1.896,84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XX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 xml:space="preserve">R. Silvio de Jorge e </w:t>
            </w:r>
            <w:proofErr w:type="spellStart"/>
            <w:r w:rsidRPr="00C17765">
              <w:rPr>
                <w:rFonts w:ascii="Calibri" w:hAnsi="Calibri"/>
                <w:sz w:val="24"/>
                <w:szCs w:val="24"/>
              </w:rPr>
              <w:t>Angelo</w:t>
            </w:r>
            <w:proofErr w:type="spellEnd"/>
            <w:r w:rsidRPr="00C17765">
              <w:rPr>
                <w:rFonts w:ascii="Calibri" w:hAnsi="Calibri"/>
                <w:sz w:val="24"/>
                <w:szCs w:val="24"/>
              </w:rPr>
              <w:t xml:space="preserve"> Salata;</w:t>
            </w:r>
          </w:p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Av. Bandeirantes e Prudente de Morais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118.263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3.000,71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XXI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R. Júlio Malara - Estância Primavera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73.429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712,60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 xml:space="preserve">XXII – 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R. Júlio Malara - Estância Primavera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73.430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680,52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XXII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R. Júlio Malara - Estância Primavera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73.431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717,72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XXIII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R. Júlio Malara - Estância Primavera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73.432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755,25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XXIV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R. Júlio Malara - Estância Primavera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73.433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790,37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XXV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R. Júlio Malara - Estância Primavera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73.434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816,55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XXVI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R. Júlio Malara - Estância Primavera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73.435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836,73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XXVII –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R. Júlio Malara - Estância Primavera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73.436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852,10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 xml:space="preserve">XXVIII – 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R. Júlio Malara - Estância Primavera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73.437</w:t>
            </w:r>
          </w:p>
        </w:tc>
        <w:tc>
          <w:tcPr>
            <w:tcW w:w="155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866,77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C17765" w:rsidRPr="00C17765" w:rsidTr="00E44CE3">
        <w:trPr>
          <w:gridAfter w:val="1"/>
          <w:wAfter w:w="1559" w:type="dxa"/>
          <w:jc w:val="center"/>
        </w:trPr>
        <w:tc>
          <w:tcPr>
            <w:tcW w:w="974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 xml:space="preserve">XXIX – </w:t>
            </w:r>
          </w:p>
        </w:tc>
        <w:tc>
          <w:tcPr>
            <w:tcW w:w="2383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R. Júlio Malara - Estância Primavera</w:t>
            </w:r>
          </w:p>
        </w:tc>
        <w:tc>
          <w:tcPr>
            <w:tcW w:w="1179" w:type="dxa"/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73.438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7765" w:rsidRPr="00C17765" w:rsidRDefault="00C17765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876.52 m</w:t>
            </w:r>
            <w:r w:rsidRPr="00C17765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</w:tr>
      <w:tr w:rsidR="00FA4050" w:rsidRPr="00C17765" w:rsidTr="00E44CE3">
        <w:trPr>
          <w:jc w:val="center"/>
        </w:trPr>
        <w:tc>
          <w:tcPr>
            <w:tcW w:w="974" w:type="dxa"/>
          </w:tcPr>
          <w:p w:rsidR="00FA4050" w:rsidRPr="00C17765" w:rsidRDefault="00FA4050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lastRenderedPageBreak/>
              <w:t>XXX –</w:t>
            </w:r>
          </w:p>
        </w:tc>
        <w:tc>
          <w:tcPr>
            <w:tcW w:w="2383" w:type="dxa"/>
          </w:tcPr>
          <w:p w:rsidR="00FA4050" w:rsidRPr="00C17765" w:rsidRDefault="00FA4050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R. Júlio Malara - Estância Primavera</w:t>
            </w:r>
          </w:p>
        </w:tc>
        <w:tc>
          <w:tcPr>
            <w:tcW w:w="1179" w:type="dxa"/>
          </w:tcPr>
          <w:p w:rsidR="00FA4050" w:rsidRPr="00C17765" w:rsidRDefault="00FA4050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17765">
              <w:rPr>
                <w:rFonts w:ascii="Calibri" w:hAnsi="Calibri"/>
                <w:sz w:val="24"/>
                <w:szCs w:val="24"/>
              </w:rPr>
              <w:t>73.439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A4050" w:rsidRPr="00C17765" w:rsidRDefault="00FA4050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4050">
              <w:rPr>
                <w:rFonts w:ascii="Calibri" w:hAnsi="Calibri"/>
                <w:sz w:val="24"/>
                <w:szCs w:val="24"/>
              </w:rPr>
              <w:t>861,84 m</w:t>
            </w:r>
            <w:r w:rsidRPr="00FA4050">
              <w:rPr>
                <w:rFonts w:ascii="Calibri" w:hAnsi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050" w:rsidRDefault="00FA4050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FA4050" w:rsidRDefault="00FA4050" w:rsidP="00C1776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FA4050" w:rsidRPr="00C17765" w:rsidRDefault="00FA4050" w:rsidP="00FA405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“(NR)</w:t>
            </w:r>
          </w:p>
        </w:tc>
      </w:tr>
    </w:tbl>
    <w:p w:rsidR="00E44CE3" w:rsidRPr="00E44CE3" w:rsidRDefault="00E44CE3" w:rsidP="003546DF">
      <w:pPr>
        <w:spacing w:before="120" w:after="120" w:line="360" w:lineRule="auto"/>
        <w:ind w:firstLine="2835"/>
        <w:jc w:val="both"/>
        <w:rPr>
          <w:rFonts w:ascii="Calibri" w:hAnsi="Calibri"/>
          <w:b/>
          <w:sz w:val="2"/>
          <w:szCs w:val="24"/>
        </w:rPr>
      </w:pPr>
    </w:p>
    <w:p w:rsidR="00C503BC" w:rsidRDefault="00E1795D" w:rsidP="003546DF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E1795D">
        <w:rPr>
          <w:rFonts w:ascii="Calibri" w:hAnsi="Calibri"/>
          <w:b/>
          <w:sz w:val="24"/>
          <w:szCs w:val="24"/>
        </w:rPr>
        <w:t>Art. 3º</w:t>
      </w:r>
      <w:r>
        <w:rPr>
          <w:rFonts w:ascii="Calibri" w:hAnsi="Calibri"/>
          <w:sz w:val="24"/>
          <w:szCs w:val="24"/>
        </w:rPr>
        <w:t xml:space="preserve"> Ficam revogados</w:t>
      </w:r>
      <w:r w:rsidR="00E44CE3">
        <w:rPr>
          <w:rFonts w:ascii="Calibri" w:hAnsi="Calibri"/>
          <w:sz w:val="24"/>
          <w:szCs w:val="24"/>
        </w:rPr>
        <w:t xml:space="preserve"> da </w:t>
      </w:r>
      <w:r w:rsidR="00E44CE3" w:rsidRPr="00E1795D">
        <w:rPr>
          <w:rFonts w:ascii="Calibri" w:hAnsi="Calibri"/>
          <w:sz w:val="24"/>
          <w:szCs w:val="24"/>
        </w:rPr>
        <w:t>Lei Complementar nº 911,</w:t>
      </w:r>
      <w:r w:rsidR="00E44CE3">
        <w:rPr>
          <w:rFonts w:ascii="Calibri" w:hAnsi="Calibri"/>
          <w:sz w:val="24"/>
          <w:szCs w:val="24"/>
        </w:rPr>
        <w:t xml:space="preserve"> de 2019</w:t>
      </w:r>
      <w:r>
        <w:rPr>
          <w:rFonts w:ascii="Calibri" w:hAnsi="Calibri"/>
          <w:sz w:val="24"/>
          <w:szCs w:val="24"/>
        </w:rPr>
        <w:t>:</w:t>
      </w:r>
    </w:p>
    <w:p w:rsidR="00E1795D" w:rsidRDefault="00E1795D" w:rsidP="003546DF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 – o inciso III do “caput” do art. 6º; e</w:t>
      </w:r>
    </w:p>
    <w:p w:rsidR="00E1795D" w:rsidRPr="00A328A2" w:rsidRDefault="00E1795D" w:rsidP="003546DF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II – o </w:t>
      </w:r>
      <w:r w:rsidR="008B40FB">
        <w:rPr>
          <w:rFonts w:ascii="Calibri" w:hAnsi="Calibri"/>
          <w:sz w:val="24"/>
          <w:szCs w:val="24"/>
        </w:rPr>
        <w:t>Anexo Único</w:t>
      </w:r>
      <w:r w:rsidR="002F0F4C">
        <w:rPr>
          <w:rFonts w:ascii="Calibri" w:hAnsi="Calibri" w:cs="Calibri"/>
          <w:sz w:val="24"/>
          <w:szCs w:val="24"/>
        </w:rPr>
        <w:t>.</w:t>
      </w:r>
    </w:p>
    <w:p w:rsidR="00EA1A2E" w:rsidRPr="0076125C" w:rsidRDefault="003612CE" w:rsidP="003546D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Art. 4º </w:t>
      </w:r>
      <w:r w:rsidR="00441B4F" w:rsidRPr="0076125C">
        <w:rPr>
          <w:rFonts w:ascii="Calibri" w:hAnsi="Calibri" w:cs="Calibri"/>
          <w:sz w:val="24"/>
          <w:szCs w:val="24"/>
        </w:rPr>
        <w:t>Esta l</w:t>
      </w:r>
      <w:r w:rsidR="00CC377D" w:rsidRPr="0076125C">
        <w:rPr>
          <w:rFonts w:ascii="Calibri" w:hAnsi="Calibri" w:cs="Calibri"/>
          <w:sz w:val="24"/>
          <w:szCs w:val="24"/>
        </w:rPr>
        <w:t xml:space="preserve">ei </w:t>
      </w:r>
      <w:r w:rsidR="00E44CE3">
        <w:rPr>
          <w:rFonts w:ascii="Calibri" w:hAnsi="Calibri" w:cs="Calibri"/>
          <w:sz w:val="24"/>
          <w:szCs w:val="24"/>
        </w:rPr>
        <w:t xml:space="preserve">complementar </w:t>
      </w:r>
      <w:r w:rsidR="00CC377D" w:rsidRPr="0076125C">
        <w:rPr>
          <w:rFonts w:ascii="Calibri" w:hAnsi="Calibri" w:cs="Calibri"/>
          <w:sz w:val="24"/>
          <w:szCs w:val="24"/>
        </w:rPr>
        <w:t>entra</w:t>
      </w:r>
      <w:r w:rsidR="00EA1A2E"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t>PREFEITURA MUNICIPAL DE ARARAQUARA</w:t>
      </w:r>
      <w:r w:rsidR="003546DF">
        <w:rPr>
          <w:rFonts w:ascii="Calibri" w:hAnsi="Calibri"/>
          <w:sz w:val="24"/>
          <w:szCs w:val="24"/>
        </w:rPr>
        <w:t>, ao</w:t>
      </w:r>
      <w:r w:rsidR="00904018">
        <w:rPr>
          <w:rFonts w:ascii="Calibri" w:hAnsi="Calibri"/>
          <w:sz w:val="24"/>
          <w:szCs w:val="24"/>
        </w:rPr>
        <w:t>s</w:t>
      </w:r>
      <w:r w:rsidR="00E44CE3">
        <w:rPr>
          <w:rFonts w:ascii="Calibri" w:hAnsi="Calibri"/>
          <w:sz w:val="24"/>
          <w:szCs w:val="24"/>
        </w:rPr>
        <w:t xml:space="preserve"> </w:t>
      </w:r>
      <w:r w:rsidR="007B1C61">
        <w:rPr>
          <w:rFonts w:ascii="Calibri" w:hAnsi="Calibri"/>
          <w:sz w:val="24"/>
          <w:szCs w:val="24"/>
        </w:rPr>
        <w:t>7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7B1C61">
        <w:rPr>
          <w:rFonts w:ascii="Calibri" w:hAnsi="Calibri"/>
          <w:sz w:val="24"/>
          <w:szCs w:val="24"/>
        </w:rPr>
        <w:t>sete</w:t>
      </w:r>
      <w:r w:rsidR="008C644A" w:rsidRPr="0076125C">
        <w:rPr>
          <w:rFonts w:ascii="Calibri" w:hAnsi="Calibri"/>
          <w:sz w:val="24"/>
          <w:szCs w:val="24"/>
        </w:rPr>
        <w:t>)</w:t>
      </w:r>
      <w:r w:rsidR="003546DF">
        <w:rPr>
          <w:rFonts w:ascii="Calibri" w:hAnsi="Calibri"/>
          <w:sz w:val="24"/>
          <w:szCs w:val="24"/>
        </w:rPr>
        <w:t xml:space="preserve"> dia</w:t>
      </w:r>
      <w:r w:rsidR="00043C12">
        <w:rPr>
          <w:rFonts w:ascii="Calibri" w:hAnsi="Calibri"/>
          <w:sz w:val="24"/>
          <w:szCs w:val="24"/>
        </w:rPr>
        <w:t>s</w:t>
      </w:r>
      <w:r w:rsidR="00857790" w:rsidRPr="0076125C">
        <w:rPr>
          <w:rFonts w:ascii="Calibri" w:hAnsi="Calibri"/>
          <w:sz w:val="24"/>
          <w:szCs w:val="24"/>
        </w:rPr>
        <w:t xml:space="preserve"> do mês de </w:t>
      </w:r>
      <w:r w:rsidR="00043C12">
        <w:rPr>
          <w:rFonts w:ascii="Calibri" w:hAnsi="Calibri"/>
          <w:sz w:val="24"/>
          <w:szCs w:val="24"/>
        </w:rPr>
        <w:t xml:space="preserve">novembro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0B4044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0B4044" w:rsidRPr="0076125C" w:rsidSect="001979CA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DF9" w:rsidRDefault="00E61DF9" w:rsidP="008166A0">
      <w:r>
        <w:separator/>
      </w:r>
    </w:p>
  </w:endnote>
  <w:endnote w:type="continuationSeparator" w:id="0">
    <w:p w:rsidR="00E61DF9" w:rsidRDefault="00E61DF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809" w:rsidRPr="00E42A39" w:rsidRDefault="0083080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A7F5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A7F57" w:rsidRPr="00E42A39">
      <w:rPr>
        <w:rFonts w:ascii="Calibri" w:hAnsi="Calibri"/>
        <w:b/>
        <w:bCs/>
        <w:sz w:val="24"/>
        <w:szCs w:val="24"/>
      </w:rPr>
      <w:fldChar w:fldCharType="separate"/>
    </w:r>
    <w:r w:rsidR="00E319F5">
      <w:rPr>
        <w:rFonts w:ascii="Calibri" w:hAnsi="Calibri"/>
        <w:b/>
        <w:bCs/>
        <w:noProof/>
      </w:rPr>
      <w:t>6</w:t>
    </w:r>
    <w:r w:rsidR="007A7F5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A7F5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A7F57" w:rsidRPr="00E42A39">
      <w:rPr>
        <w:rFonts w:ascii="Calibri" w:hAnsi="Calibri"/>
        <w:b/>
        <w:bCs/>
        <w:sz w:val="24"/>
        <w:szCs w:val="24"/>
      </w:rPr>
      <w:fldChar w:fldCharType="separate"/>
    </w:r>
    <w:r w:rsidR="00E319F5">
      <w:rPr>
        <w:rFonts w:ascii="Calibri" w:hAnsi="Calibri"/>
        <w:b/>
        <w:bCs/>
        <w:noProof/>
      </w:rPr>
      <w:t>6</w:t>
    </w:r>
    <w:r w:rsidR="007A7F57" w:rsidRPr="00E42A39">
      <w:rPr>
        <w:rFonts w:ascii="Calibri" w:hAnsi="Calibri"/>
        <w:b/>
        <w:bCs/>
        <w:sz w:val="24"/>
        <w:szCs w:val="24"/>
      </w:rPr>
      <w:fldChar w:fldCharType="end"/>
    </w:r>
  </w:p>
  <w:p w:rsidR="00830809" w:rsidRDefault="008308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DF9" w:rsidRDefault="00E61DF9" w:rsidP="008166A0">
      <w:r>
        <w:separator/>
      </w:r>
    </w:p>
  </w:footnote>
  <w:footnote w:type="continuationSeparator" w:id="0">
    <w:p w:rsidR="00E61DF9" w:rsidRDefault="00E61DF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809" w:rsidRDefault="0083080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0809" w:rsidRDefault="00830809" w:rsidP="00857790">
    <w:pPr>
      <w:pStyle w:val="Legenda"/>
    </w:pPr>
  </w:p>
  <w:p w:rsidR="00830809" w:rsidRDefault="00830809" w:rsidP="00857790">
    <w:pPr>
      <w:pStyle w:val="Legenda"/>
    </w:pPr>
  </w:p>
  <w:p w:rsidR="00830809" w:rsidRDefault="00830809" w:rsidP="00857790">
    <w:pPr>
      <w:pStyle w:val="Legenda"/>
    </w:pPr>
  </w:p>
  <w:p w:rsidR="00830809" w:rsidRPr="00BE4DA8" w:rsidRDefault="00830809" w:rsidP="00857790">
    <w:pPr>
      <w:pStyle w:val="Legenda"/>
      <w:rPr>
        <w:sz w:val="12"/>
        <w:szCs w:val="24"/>
      </w:rPr>
    </w:pPr>
  </w:p>
  <w:p w:rsidR="00830809" w:rsidRPr="006629CA" w:rsidRDefault="00E44CE3" w:rsidP="00E44CE3">
    <w:pPr>
      <w:pStyle w:val="Legenda"/>
      <w:tabs>
        <w:tab w:val="center" w:pos="4394"/>
        <w:tab w:val="left" w:pos="6636"/>
      </w:tabs>
      <w:jc w:val="left"/>
    </w:pPr>
    <w:r>
      <w:rPr>
        <w:sz w:val="24"/>
        <w:szCs w:val="24"/>
      </w:rPr>
      <w:tab/>
    </w:r>
    <w:r w:rsidR="00830809" w:rsidRPr="00A01476">
      <w:rPr>
        <w:sz w:val="24"/>
        <w:szCs w:val="24"/>
      </w:rPr>
      <w:t>MUNICÍPIO DE ARARAQUARA</w:t>
    </w:r>
    <w:r>
      <w:rPr>
        <w:sz w:val="24"/>
        <w:szCs w:val="24"/>
      </w:rPr>
      <w:tab/>
    </w:r>
  </w:p>
  <w:p w:rsidR="00830809" w:rsidRPr="00857790" w:rsidRDefault="00830809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583"/>
    <w:rsid w:val="000074FE"/>
    <w:rsid w:val="00030E70"/>
    <w:rsid w:val="0003641C"/>
    <w:rsid w:val="00043C12"/>
    <w:rsid w:val="00043D87"/>
    <w:rsid w:val="00062840"/>
    <w:rsid w:val="00063F0C"/>
    <w:rsid w:val="00066693"/>
    <w:rsid w:val="000755F5"/>
    <w:rsid w:val="00077088"/>
    <w:rsid w:val="00080C9E"/>
    <w:rsid w:val="00081F94"/>
    <w:rsid w:val="0008538C"/>
    <w:rsid w:val="00087003"/>
    <w:rsid w:val="00090D23"/>
    <w:rsid w:val="0009113A"/>
    <w:rsid w:val="000931B5"/>
    <w:rsid w:val="000A2124"/>
    <w:rsid w:val="000A3D5C"/>
    <w:rsid w:val="000A5EDB"/>
    <w:rsid w:val="000B0BF9"/>
    <w:rsid w:val="000B108E"/>
    <w:rsid w:val="000B388D"/>
    <w:rsid w:val="000B4044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3271"/>
    <w:rsid w:val="0012435A"/>
    <w:rsid w:val="001246AD"/>
    <w:rsid w:val="00135EAD"/>
    <w:rsid w:val="00137FFD"/>
    <w:rsid w:val="0014117A"/>
    <w:rsid w:val="00144D51"/>
    <w:rsid w:val="00152474"/>
    <w:rsid w:val="0016200C"/>
    <w:rsid w:val="00165F4A"/>
    <w:rsid w:val="00166CE6"/>
    <w:rsid w:val="00167D99"/>
    <w:rsid w:val="00171ABC"/>
    <w:rsid w:val="00176265"/>
    <w:rsid w:val="00193F72"/>
    <w:rsid w:val="001979CA"/>
    <w:rsid w:val="001B153C"/>
    <w:rsid w:val="001C1317"/>
    <w:rsid w:val="001E1A55"/>
    <w:rsid w:val="001E3046"/>
    <w:rsid w:val="001F32BB"/>
    <w:rsid w:val="001F665E"/>
    <w:rsid w:val="00206686"/>
    <w:rsid w:val="00212A21"/>
    <w:rsid w:val="0022000F"/>
    <w:rsid w:val="0022453B"/>
    <w:rsid w:val="00230658"/>
    <w:rsid w:val="00232B1E"/>
    <w:rsid w:val="0023442D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D1B1C"/>
    <w:rsid w:val="002D6F18"/>
    <w:rsid w:val="002D7B2D"/>
    <w:rsid w:val="002D7FBD"/>
    <w:rsid w:val="002E05AF"/>
    <w:rsid w:val="002E0A19"/>
    <w:rsid w:val="002E0B31"/>
    <w:rsid w:val="002E4BC7"/>
    <w:rsid w:val="002F0F4C"/>
    <w:rsid w:val="002F3F2E"/>
    <w:rsid w:val="002F5C17"/>
    <w:rsid w:val="003002D7"/>
    <w:rsid w:val="0030245D"/>
    <w:rsid w:val="00307A83"/>
    <w:rsid w:val="0031057C"/>
    <w:rsid w:val="00311AB1"/>
    <w:rsid w:val="00314938"/>
    <w:rsid w:val="003168B1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12CE"/>
    <w:rsid w:val="0036229F"/>
    <w:rsid w:val="00362AC5"/>
    <w:rsid w:val="00362C5D"/>
    <w:rsid w:val="00364AB2"/>
    <w:rsid w:val="00364B03"/>
    <w:rsid w:val="00365CEA"/>
    <w:rsid w:val="00366140"/>
    <w:rsid w:val="00374684"/>
    <w:rsid w:val="00377746"/>
    <w:rsid w:val="003820F7"/>
    <w:rsid w:val="00382997"/>
    <w:rsid w:val="0038446C"/>
    <w:rsid w:val="00384C31"/>
    <w:rsid w:val="0038523B"/>
    <w:rsid w:val="00390779"/>
    <w:rsid w:val="00397ADB"/>
    <w:rsid w:val="003A5787"/>
    <w:rsid w:val="003A57B0"/>
    <w:rsid w:val="003A6DB7"/>
    <w:rsid w:val="003B24FA"/>
    <w:rsid w:val="003B2C2D"/>
    <w:rsid w:val="003B6CFB"/>
    <w:rsid w:val="003D56A1"/>
    <w:rsid w:val="003E376C"/>
    <w:rsid w:val="003F43F0"/>
    <w:rsid w:val="003F7D7B"/>
    <w:rsid w:val="004005F2"/>
    <w:rsid w:val="00401BAE"/>
    <w:rsid w:val="00401BE1"/>
    <w:rsid w:val="00403A18"/>
    <w:rsid w:val="00411553"/>
    <w:rsid w:val="00414CCD"/>
    <w:rsid w:val="00415E62"/>
    <w:rsid w:val="00417941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A29A6"/>
    <w:rsid w:val="004B150E"/>
    <w:rsid w:val="004B7D9A"/>
    <w:rsid w:val="004C043E"/>
    <w:rsid w:val="004C460B"/>
    <w:rsid w:val="004C6144"/>
    <w:rsid w:val="004D288B"/>
    <w:rsid w:val="004E5D5D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24321"/>
    <w:rsid w:val="0053288B"/>
    <w:rsid w:val="00533E1E"/>
    <w:rsid w:val="00535DAA"/>
    <w:rsid w:val="00536820"/>
    <w:rsid w:val="00536EFE"/>
    <w:rsid w:val="00540C91"/>
    <w:rsid w:val="005431E2"/>
    <w:rsid w:val="00561F6E"/>
    <w:rsid w:val="00567B81"/>
    <w:rsid w:val="00572389"/>
    <w:rsid w:val="00572808"/>
    <w:rsid w:val="00573070"/>
    <w:rsid w:val="005803DB"/>
    <w:rsid w:val="00584303"/>
    <w:rsid w:val="0059151E"/>
    <w:rsid w:val="00594596"/>
    <w:rsid w:val="00594E78"/>
    <w:rsid w:val="005A351E"/>
    <w:rsid w:val="005A4E7A"/>
    <w:rsid w:val="005A5EB4"/>
    <w:rsid w:val="005A7093"/>
    <w:rsid w:val="005B630F"/>
    <w:rsid w:val="005B7C19"/>
    <w:rsid w:val="005D0C0B"/>
    <w:rsid w:val="005D36A7"/>
    <w:rsid w:val="005E1AEC"/>
    <w:rsid w:val="005E28DC"/>
    <w:rsid w:val="005E36C1"/>
    <w:rsid w:val="005E3C9A"/>
    <w:rsid w:val="005F0026"/>
    <w:rsid w:val="005F75EA"/>
    <w:rsid w:val="006061AF"/>
    <w:rsid w:val="00615557"/>
    <w:rsid w:val="00615AF8"/>
    <w:rsid w:val="00624145"/>
    <w:rsid w:val="006267D1"/>
    <w:rsid w:val="0062683E"/>
    <w:rsid w:val="00633FF8"/>
    <w:rsid w:val="00634FDF"/>
    <w:rsid w:val="00640186"/>
    <w:rsid w:val="00646223"/>
    <w:rsid w:val="006629CA"/>
    <w:rsid w:val="00664F77"/>
    <w:rsid w:val="00667FC3"/>
    <w:rsid w:val="0067141C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663F"/>
    <w:rsid w:val="006E7090"/>
    <w:rsid w:val="006F233A"/>
    <w:rsid w:val="006F2741"/>
    <w:rsid w:val="006F33EC"/>
    <w:rsid w:val="006F4949"/>
    <w:rsid w:val="006F6151"/>
    <w:rsid w:val="006F69C4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4107"/>
    <w:rsid w:val="00747301"/>
    <w:rsid w:val="00756B77"/>
    <w:rsid w:val="00757F45"/>
    <w:rsid w:val="0076125C"/>
    <w:rsid w:val="0076130E"/>
    <w:rsid w:val="007625CC"/>
    <w:rsid w:val="00762A28"/>
    <w:rsid w:val="00767116"/>
    <w:rsid w:val="00767701"/>
    <w:rsid w:val="007736EF"/>
    <w:rsid w:val="0077665E"/>
    <w:rsid w:val="00776790"/>
    <w:rsid w:val="00777B49"/>
    <w:rsid w:val="007941C9"/>
    <w:rsid w:val="007945CE"/>
    <w:rsid w:val="007952A8"/>
    <w:rsid w:val="007A0F06"/>
    <w:rsid w:val="007A7F57"/>
    <w:rsid w:val="007B1C61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059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4348E"/>
    <w:rsid w:val="00857790"/>
    <w:rsid w:val="00862FEE"/>
    <w:rsid w:val="00871EBD"/>
    <w:rsid w:val="0087521D"/>
    <w:rsid w:val="00881B7E"/>
    <w:rsid w:val="00886D95"/>
    <w:rsid w:val="008875B5"/>
    <w:rsid w:val="00891921"/>
    <w:rsid w:val="008A656C"/>
    <w:rsid w:val="008B40FB"/>
    <w:rsid w:val="008B51FA"/>
    <w:rsid w:val="008C644A"/>
    <w:rsid w:val="008D222F"/>
    <w:rsid w:val="008D2EFA"/>
    <w:rsid w:val="008D6226"/>
    <w:rsid w:val="008D6BB4"/>
    <w:rsid w:val="008E4DFD"/>
    <w:rsid w:val="008F5E10"/>
    <w:rsid w:val="009018E9"/>
    <w:rsid w:val="00904018"/>
    <w:rsid w:val="00904CAD"/>
    <w:rsid w:val="00910C70"/>
    <w:rsid w:val="009110E0"/>
    <w:rsid w:val="00913D56"/>
    <w:rsid w:val="00916814"/>
    <w:rsid w:val="00917FC0"/>
    <w:rsid w:val="00920EE1"/>
    <w:rsid w:val="009225AA"/>
    <w:rsid w:val="009245EB"/>
    <w:rsid w:val="00925496"/>
    <w:rsid w:val="00925FA8"/>
    <w:rsid w:val="0092664C"/>
    <w:rsid w:val="0093067B"/>
    <w:rsid w:val="009371B4"/>
    <w:rsid w:val="009401D8"/>
    <w:rsid w:val="0094057D"/>
    <w:rsid w:val="00941D61"/>
    <w:rsid w:val="00943A6D"/>
    <w:rsid w:val="0094520F"/>
    <w:rsid w:val="009455E2"/>
    <w:rsid w:val="00951F5F"/>
    <w:rsid w:val="00953C83"/>
    <w:rsid w:val="00956846"/>
    <w:rsid w:val="009607E9"/>
    <w:rsid w:val="009631DA"/>
    <w:rsid w:val="00965B11"/>
    <w:rsid w:val="009711BE"/>
    <w:rsid w:val="009761E6"/>
    <w:rsid w:val="009832FE"/>
    <w:rsid w:val="00985820"/>
    <w:rsid w:val="00991E06"/>
    <w:rsid w:val="009920FD"/>
    <w:rsid w:val="00992790"/>
    <w:rsid w:val="0099494C"/>
    <w:rsid w:val="009960D4"/>
    <w:rsid w:val="009A2CA1"/>
    <w:rsid w:val="009A69C2"/>
    <w:rsid w:val="009C34C9"/>
    <w:rsid w:val="009D0138"/>
    <w:rsid w:val="009D2597"/>
    <w:rsid w:val="009E3454"/>
    <w:rsid w:val="009E47A2"/>
    <w:rsid w:val="009F0B7E"/>
    <w:rsid w:val="009F1B29"/>
    <w:rsid w:val="00A012B9"/>
    <w:rsid w:val="00A01D73"/>
    <w:rsid w:val="00A116FA"/>
    <w:rsid w:val="00A1271F"/>
    <w:rsid w:val="00A2499A"/>
    <w:rsid w:val="00A26F23"/>
    <w:rsid w:val="00A30329"/>
    <w:rsid w:val="00A328A2"/>
    <w:rsid w:val="00A343A6"/>
    <w:rsid w:val="00A427CE"/>
    <w:rsid w:val="00A516D4"/>
    <w:rsid w:val="00A54A1E"/>
    <w:rsid w:val="00A553D6"/>
    <w:rsid w:val="00A62439"/>
    <w:rsid w:val="00A757F9"/>
    <w:rsid w:val="00A7757B"/>
    <w:rsid w:val="00A81E0D"/>
    <w:rsid w:val="00A83056"/>
    <w:rsid w:val="00A846ED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E057C"/>
    <w:rsid w:val="00AF1216"/>
    <w:rsid w:val="00AF2591"/>
    <w:rsid w:val="00AF287F"/>
    <w:rsid w:val="00AF3849"/>
    <w:rsid w:val="00AF4D11"/>
    <w:rsid w:val="00B04FF4"/>
    <w:rsid w:val="00B17978"/>
    <w:rsid w:val="00B17C7F"/>
    <w:rsid w:val="00B22092"/>
    <w:rsid w:val="00B31131"/>
    <w:rsid w:val="00B31ADC"/>
    <w:rsid w:val="00B3230C"/>
    <w:rsid w:val="00B333B7"/>
    <w:rsid w:val="00B40018"/>
    <w:rsid w:val="00B42924"/>
    <w:rsid w:val="00B4316B"/>
    <w:rsid w:val="00B51771"/>
    <w:rsid w:val="00B51B90"/>
    <w:rsid w:val="00B6164F"/>
    <w:rsid w:val="00B633A7"/>
    <w:rsid w:val="00B82C16"/>
    <w:rsid w:val="00B85577"/>
    <w:rsid w:val="00B86940"/>
    <w:rsid w:val="00B94567"/>
    <w:rsid w:val="00B9654F"/>
    <w:rsid w:val="00B973D9"/>
    <w:rsid w:val="00BA34B6"/>
    <w:rsid w:val="00BA3A63"/>
    <w:rsid w:val="00BA653C"/>
    <w:rsid w:val="00BA6946"/>
    <w:rsid w:val="00BB01D7"/>
    <w:rsid w:val="00BB0F3E"/>
    <w:rsid w:val="00BB1E98"/>
    <w:rsid w:val="00BB213C"/>
    <w:rsid w:val="00BC05A6"/>
    <w:rsid w:val="00BC411A"/>
    <w:rsid w:val="00BC4182"/>
    <w:rsid w:val="00BD081D"/>
    <w:rsid w:val="00BD27F3"/>
    <w:rsid w:val="00BD5CBE"/>
    <w:rsid w:val="00BE0027"/>
    <w:rsid w:val="00BE073A"/>
    <w:rsid w:val="00BE549A"/>
    <w:rsid w:val="00BF386F"/>
    <w:rsid w:val="00C107D6"/>
    <w:rsid w:val="00C140C9"/>
    <w:rsid w:val="00C15D98"/>
    <w:rsid w:val="00C17765"/>
    <w:rsid w:val="00C20C67"/>
    <w:rsid w:val="00C271D4"/>
    <w:rsid w:val="00C31A3A"/>
    <w:rsid w:val="00C4341F"/>
    <w:rsid w:val="00C503BC"/>
    <w:rsid w:val="00C52041"/>
    <w:rsid w:val="00C52E50"/>
    <w:rsid w:val="00C53FB1"/>
    <w:rsid w:val="00C571B9"/>
    <w:rsid w:val="00C605F9"/>
    <w:rsid w:val="00C7236E"/>
    <w:rsid w:val="00C77770"/>
    <w:rsid w:val="00C83BFD"/>
    <w:rsid w:val="00C83DB2"/>
    <w:rsid w:val="00C92DD8"/>
    <w:rsid w:val="00C93637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6BA0"/>
    <w:rsid w:val="00D211B9"/>
    <w:rsid w:val="00D26682"/>
    <w:rsid w:val="00D27486"/>
    <w:rsid w:val="00D3316C"/>
    <w:rsid w:val="00D33EFC"/>
    <w:rsid w:val="00D44251"/>
    <w:rsid w:val="00D44DD7"/>
    <w:rsid w:val="00D469F2"/>
    <w:rsid w:val="00D51C1F"/>
    <w:rsid w:val="00D61A63"/>
    <w:rsid w:val="00D62233"/>
    <w:rsid w:val="00D63D6F"/>
    <w:rsid w:val="00D666D3"/>
    <w:rsid w:val="00D67AEB"/>
    <w:rsid w:val="00D70C9F"/>
    <w:rsid w:val="00D729F1"/>
    <w:rsid w:val="00D73C99"/>
    <w:rsid w:val="00D75A37"/>
    <w:rsid w:val="00D80BF4"/>
    <w:rsid w:val="00D86299"/>
    <w:rsid w:val="00DA03E4"/>
    <w:rsid w:val="00DB340D"/>
    <w:rsid w:val="00DC36CC"/>
    <w:rsid w:val="00DD015F"/>
    <w:rsid w:val="00DD098D"/>
    <w:rsid w:val="00DD63C6"/>
    <w:rsid w:val="00DD7BD4"/>
    <w:rsid w:val="00DE063F"/>
    <w:rsid w:val="00DE45A9"/>
    <w:rsid w:val="00DE632F"/>
    <w:rsid w:val="00DF460B"/>
    <w:rsid w:val="00DF5C57"/>
    <w:rsid w:val="00DF60FC"/>
    <w:rsid w:val="00DF67D2"/>
    <w:rsid w:val="00DF73FE"/>
    <w:rsid w:val="00E01823"/>
    <w:rsid w:val="00E055E3"/>
    <w:rsid w:val="00E1795D"/>
    <w:rsid w:val="00E2284E"/>
    <w:rsid w:val="00E245CB"/>
    <w:rsid w:val="00E319F5"/>
    <w:rsid w:val="00E42A39"/>
    <w:rsid w:val="00E43C0F"/>
    <w:rsid w:val="00E44CE3"/>
    <w:rsid w:val="00E47004"/>
    <w:rsid w:val="00E47769"/>
    <w:rsid w:val="00E53A25"/>
    <w:rsid w:val="00E543CA"/>
    <w:rsid w:val="00E57F6A"/>
    <w:rsid w:val="00E61DF9"/>
    <w:rsid w:val="00E634F9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A541F"/>
    <w:rsid w:val="00EB04B7"/>
    <w:rsid w:val="00EB121E"/>
    <w:rsid w:val="00EB3773"/>
    <w:rsid w:val="00EB457F"/>
    <w:rsid w:val="00EB4ACF"/>
    <w:rsid w:val="00EB72FC"/>
    <w:rsid w:val="00EC42B1"/>
    <w:rsid w:val="00EC6173"/>
    <w:rsid w:val="00EC73BF"/>
    <w:rsid w:val="00EC797F"/>
    <w:rsid w:val="00ED418C"/>
    <w:rsid w:val="00EE04DD"/>
    <w:rsid w:val="00EF28FF"/>
    <w:rsid w:val="00F01079"/>
    <w:rsid w:val="00F017F2"/>
    <w:rsid w:val="00F03D9B"/>
    <w:rsid w:val="00F1000A"/>
    <w:rsid w:val="00F11E6C"/>
    <w:rsid w:val="00F1328B"/>
    <w:rsid w:val="00F254A9"/>
    <w:rsid w:val="00F31579"/>
    <w:rsid w:val="00F32AA3"/>
    <w:rsid w:val="00F34684"/>
    <w:rsid w:val="00F36287"/>
    <w:rsid w:val="00F375C3"/>
    <w:rsid w:val="00F42CFB"/>
    <w:rsid w:val="00F43F27"/>
    <w:rsid w:val="00F456E9"/>
    <w:rsid w:val="00F46950"/>
    <w:rsid w:val="00F545EE"/>
    <w:rsid w:val="00F55D82"/>
    <w:rsid w:val="00F6680A"/>
    <w:rsid w:val="00F7306E"/>
    <w:rsid w:val="00F845EF"/>
    <w:rsid w:val="00F91E1E"/>
    <w:rsid w:val="00FA3245"/>
    <w:rsid w:val="00FA4050"/>
    <w:rsid w:val="00FA63F1"/>
    <w:rsid w:val="00FB1C8A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E5960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8B97D8B-ED21-486D-BD9F-CEE3ED45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character" w:styleId="Hyperlink">
    <w:name w:val="Hyperlink"/>
    <w:basedOn w:val="Fontepargpadro"/>
    <w:uiPriority w:val="99"/>
    <w:unhideWhenUsed/>
    <w:rsid w:val="00D46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57933-788E-418E-8FCF-6A39DBC6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1183</Words>
  <Characters>6393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2019-11-07T16:50:00Z</cp:lastPrinted>
  <dcterms:created xsi:type="dcterms:W3CDTF">2019-11-08T11:10:00Z</dcterms:created>
  <dcterms:modified xsi:type="dcterms:W3CDTF">2019-11-08T11:10:00Z</dcterms:modified>
</cp:coreProperties>
</file>