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97C5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470BA">
        <w:rPr>
          <w:rFonts w:ascii="Tahoma" w:hAnsi="Tahoma" w:cs="Tahoma"/>
          <w:b/>
          <w:sz w:val="32"/>
          <w:szCs w:val="32"/>
          <w:u w:val="single"/>
        </w:rPr>
        <w:t>364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470BA">
        <w:rPr>
          <w:rFonts w:ascii="Tahoma" w:hAnsi="Tahoma" w:cs="Tahoma"/>
          <w:b/>
          <w:sz w:val="32"/>
          <w:szCs w:val="32"/>
          <w:u w:val="single"/>
        </w:rPr>
        <w:t>366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470B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470BA">
        <w:rPr>
          <w:rFonts w:ascii="Calibri" w:hAnsi="Calibri" w:cs="Calibri"/>
          <w:sz w:val="22"/>
          <w:szCs w:val="22"/>
        </w:rPr>
        <w:t>Altera a Lei nº 8.481, de 17 de junho de 2015, modificando os parâmetros para pagamento parcelado na aquisição de imóveis alienados pelo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470BA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70BA">
        <w:rPr>
          <w:rFonts w:ascii="Calibri" w:hAnsi="Calibri" w:cs="Calibri"/>
          <w:sz w:val="24"/>
          <w:szCs w:val="22"/>
        </w:rPr>
        <w:t>Art. 1</w:t>
      </w:r>
      <w:proofErr w:type="gramStart"/>
      <w:r w:rsidRPr="00B470B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470BA">
        <w:rPr>
          <w:rFonts w:ascii="Calibri" w:hAnsi="Calibri" w:cs="Calibri"/>
          <w:sz w:val="24"/>
          <w:szCs w:val="22"/>
        </w:rPr>
        <w:t>A</w:t>
      </w:r>
      <w:proofErr w:type="gramEnd"/>
      <w:r w:rsidRPr="00B470BA">
        <w:rPr>
          <w:rFonts w:ascii="Calibri" w:hAnsi="Calibri" w:cs="Calibri"/>
          <w:sz w:val="24"/>
          <w:szCs w:val="22"/>
        </w:rPr>
        <w:t xml:space="preserve"> Lei nº 8.481, de 17 de junho </w:t>
      </w:r>
      <w:r w:rsidR="005D6683">
        <w:rPr>
          <w:rFonts w:ascii="Calibri" w:hAnsi="Calibri" w:cs="Calibri"/>
          <w:sz w:val="24"/>
          <w:szCs w:val="22"/>
        </w:rPr>
        <w:t xml:space="preserve">de </w:t>
      </w:r>
      <w:r w:rsidRPr="00B470BA">
        <w:rPr>
          <w:rFonts w:ascii="Calibri" w:hAnsi="Calibri" w:cs="Calibri"/>
          <w:sz w:val="24"/>
          <w:szCs w:val="22"/>
        </w:rPr>
        <w:t xml:space="preserve">2015, passa a </w:t>
      </w:r>
      <w:r>
        <w:rPr>
          <w:rFonts w:ascii="Calibri" w:hAnsi="Calibri" w:cs="Calibri"/>
          <w:sz w:val="24"/>
          <w:szCs w:val="22"/>
        </w:rPr>
        <w:t xml:space="preserve">vigorar com a seguinte </w:t>
      </w:r>
      <w:r w:rsidR="005D6683">
        <w:rPr>
          <w:rFonts w:ascii="Calibri" w:hAnsi="Calibri" w:cs="Calibri"/>
          <w:sz w:val="24"/>
          <w:szCs w:val="22"/>
        </w:rPr>
        <w:t>alter</w:t>
      </w:r>
      <w:r>
        <w:rPr>
          <w:rFonts w:ascii="Calibri" w:hAnsi="Calibri" w:cs="Calibri"/>
          <w:sz w:val="24"/>
          <w:szCs w:val="22"/>
        </w:rPr>
        <w:t>ação:</w:t>
      </w:r>
    </w:p>
    <w:p w:rsidR="00B470BA" w:rsidRPr="00B470BA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470BA" w:rsidRPr="00B470BA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470BA">
        <w:rPr>
          <w:rFonts w:ascii="Calibri" w:hAnsi="Calibri" w:cs="Calibri"/>
          <w:sz w:val="24"/>
          <w:szCs w:val="22"/>
        </w:rPr>
        <w:t>“Art. 1</w:t>
      </w:r>
      <w:proofErr w:type="gramStart"/>
      <w:r w:rsidRPr="00B470BA">
        <w:rPr>
          <w:rFonts w:ascii="Calibri" w:hAnsi="Calibri" w:cs="Calibri"/>
          <w:sz w:val="24"/>
          <w:szCs w:val="22"/>
        </w:rPr>
        <w:t xml:space="preserve">º </w:t>
      </w:r>
      <w:r w:rsidR="005D6683">
        <w:rPr>
          <w:rFonts w:ascii="Calibri" w:hAnsi="Calibri" w:cs="Calibri"/>
          <w:sz w:val="24"/>
          <w:szCs w:val="22"/>
        </w:rPr>
        <w:t xml:space="preserve"> </w:t>
      </w:r>
      <w:r w:rsidRPr="00B470BA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</w:t>
      </w:r>
      <w:r w:rsidR="005D6683">
        <w:rPr>
          <w:rFonts w:ascii="Calibri" w:hAnsi="Calibri" w:cs="Calibri"/>
          <w:sz w:val="24"/>
          <w:szCs w:val="22"/>
        </w:rPr>
        <w:t>.....................</w:t>
      </w:r>
      <w:proofErr w:type="gramEnd"/>
    </w:p>
    <w:p w:rsidR="00B470BA" w:rsidRPr="00B470BA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470BA">
        <w:rPr>
          <w:rFonts w:ascii="Calibri" w:hAnsi="Calibri" w:cs="Calibri"/>
          <w:sz w:val="24"/>
          <w:szCs w:val="22"/>
        </w:rPr>
        <w:t>I – imóvel avaliado em até R$ 1.000.000,00 (um milhão de reais): em até 6 (seis) parcelas mensais, com entrada no valor mínimo de 20% (vinte por cento) sobre o valor da avaliação do imóvel;</w:t>
      </w:r>
    </w:p>
    <w:p w:rsidR="00B470BA" w:rsidRPr="00B470BA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470BA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B470BA">
        <w:rPr>
          <w:rFonts w:ascii="Calibri" w:hAnsi="Calibri" w:cs="Calibri"/>
          <w:sz w:val="24"/>
          <w:szCs w:val="22"/>
        </w:rPr>
        <w:t>imóvel</w:t>
      </w:r>
      <w:proofErr w:type="gramEnd"/>
      <w:r w:rsidRPr="00B470BA">
        <w:rPr>
          <w:rFonts w:ascii="Calibri" w:hAnsi="Calibri" w:cs="Calibri"/>
          <w:sz w:val="24"/>
          <w:szCs w:val="22"/>
        </w:rPr>
        <w:t xml:space="preserve"> com avaliação </w:t>
      </w:r>
      <w:r w:rsidR="00D97C50">
        <w:rPr>
          <w:rFonts w:ascii="Calibri" w:hAnsi="Calibri" w:cs="Calibri"/>
          <w:sz w:val="24"/>
          <w:szCs w:val="22"/>
        </w:rPr>
        <w:t>superior a</w:t>
      </w:r>
      <w:r w:rsidRPr="00B470BA">
        <w:rPr>
          <w:rFonts w:ascii="Calibri" w:hAnsi="Calibri" w:cs="Calibri"/>
          <w:sz w:val="24"/>
          <w:szCs w:val="22"/>
        </w:rPr>
        <w:t xml:space="preserve"> R$ 1.000.000,00 (um milhão de reais) até R$ 5.000.000,00 (cinco milhões de reais): no máximo 10 (dez) parcelas mensais, com entrada no valor mínimo de 20% (vinte por cento) sobre o valor da avaliação do imóvel;</w:t>
      </w:r>
    </w:p>
    <w:p w:rsidR="00B470BA" w:rsidRPr="00B470BA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470BA">
        <w:rPr>
          <w:rFonts w:ascii="Calibri" w:hAnsi="Calibri" w:cs="Calibri"/>
          <w:sz w:val="24"/>
          <w:szCs w:val="22"/>
        </w:rPr>
        <w:t>III – imóvel com avaliação</w:t>
      </w:r>
      <w:r w:rsidR="005D6683">
        <w:rPr>
          <w:rFonts w:ascii="Calibri" w:hAnsi="Calibri" w:cs="Calibri"/>
          <w:sz w:val="24"/>
          <w:szCs w:val="22"/>
        </w:rPr>
        <w:t xml:space="preserve"> </w:t>
      </w:r>
      <w:r w:rsidR="00D97C50">
        <w:rPr>
          <w:rFonts w:ascii="Calibri" w:hAnsi="Calibri" w:cs="Calibri"/>
          <w:sz w:val="24"/>
          <w:szCs w:val="22"/>
        </w:rPr>
        <w:t>superior a</w:t>
      </w:r>
      <w:bookmarkStart w:id="0" w:name="_GoBack"/>
      <w:bookmarkEnd w:id="0"/>
      <w:r w:rsidR="005D6683">
        <w:rPr>
          <w:rFonts w:ascii="Calibri" w:hAnsi="Calibri" w:cs="Calibri"/>
          <w:sz w:val="24"/>
          <w:szCs w:val="22"/>
        </w:rPr>
        <w:t xml:space="preserve"> R$ 5.000.000,00 (cinco</w:t>
      </w:r>
      <w:r w:rsidRPr="00B470BA">
        <w:rPr>
          <w:rFonts w:ascii="Calibri" w:hAnsi="Calibri" w:cs="Calibri"/>
          <w:sz w:val="24"/>
          <w:szCs w:val="22"/>
        </w:rPr>
        <w:t xml:space="preserve"> milh</w:t>
      </w:r>
      <w:r w:rsidR="00D97C50">
        <w:rPr>
          <w:rFonts w:ascii="Calibri" w:hAnsi="Calibri" w:cs="Calibri"/>
          <w:sz w:val="24"/>
          <w:szCs w:val="22"/>
        </w:rPr>
        <w:t>ões</w:t>
      </w:r>
      <w:r w:rsidRPr="00B470BA">
        <w:rPr>
          <w:rFonts w:ascii="Calibri" w:hAnsi="Calibri" w:cs="Calibri"/>
          <w:sz w:val="24"/>
          <w:szCs w:val="22"/>
        </w:rPr>
        <w:t xml:space="preserve"> de reais) até R$ 10.000.000,00 (dez milhões de reais): no máximo 15 (quinze) parcelas mensais, com entrada no valor mínimo de 20% (vinte por cento) sobre o valor da avaliação do imóvel; e</w:t>
      </w:r>
    </w:p>
    <w:p w:rsidR="00B470BA" w:rsidRPr="00B470BA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470BA">
        <w:rPr>
          <w:rFonts w:ascii="Calibri" w:hAnsi="Calibri" w:cs="Calibri"/>
          <w:sz w:val="24"/>
          <w:szCs w:val="22"/>
        </w:rPr>
        <w:t>IV – imóvel com avaliação superior a R$ 10.000.000,00 (dez milhões de reais): no máximo 20 (vinte) parcelas mensais, com entrada no valor mínimo de 20% (vinte por cento) sobre o valor da avaliação do imóvel.</w:t>
      </w:r>
    </w:p>
    <w:p w:rsidR="00B470BA" w:rsidRPr="00B470BA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470BA">
        <w:rPr>
          <w:rFonts w:ascii="Calibri" w:hAnsi="Calibri" w:cs="Calibri"/>
          <w:sz w:val="24"/>
          <w:szCs w:val="22"/>
        </w:rPr>
        <w:t>Parágrafo único. As hipóteses de parcelamento previstas no “caput” deste artigo são aplicáveis à aquisição, por um mesmo licitante, de pluralidade de imóveis ofertados num mesmo e único certame, atendidos os seguintes requisitos:</w:t>
      </w:r>
    </w:p>
    <w:p w:rsidR="00B470BA" w:rsidRPr="00B470BA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470BA">
        <w:rPr>
          <w:rFonts w:ascii="Calibri" w:hAnsi="Calibri" w:cs="Calibri"/>
          <w:sz w:val="24"/>
          <w:szCs w:val="22"/>
        </w:rPr>
        <w:t>I – o parcelamento somente será cabível quanto à aquisição de imóveis efetivamente homologada no certame; e</w:t>
      </w:r>
    </w:p>
    <w:p w:rsidR="00B470BA" w:rsidRPr="00B470BA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470BA">
        <w:rPr>
          <w:rFonts w:ascii="Calibri" w:hAnsi="Calibri" w:cs="Calibri"/>
          <w:sz w:val="24"/>
          <w:szCs w:val="22"/>
        </w:rPr>
        <w:t xml:space="preserve">II – o parâmetro de parcelamento cabível será definido em razão da totalidade dos valores efetivamente ofertados e homologados no certame ao licitante </w:t>
      </w:r>
      <w:proofErr w:type="gramStart"/>
      <w:r w:rsidRPr="00B470BA">
        <w:rPr>
          <w:rFonts w:ascii="Calibri" w:hAnsi="Calibri" w:cs="Calibri"/>
          <w:sz w:val="24"/>
          <w:szCs w:val="22"/>
        </w:rPr>
        <w:t>vencedor.”</w:t>
      </w:r>
      <w:proofErr w:type="gramEnd"/>
      <w:r w:rsidRPr="00B470BA">
        <w:rPr>
          <w:rFonts w:ascii="Calibri" w:hAnsi="Calibri" w:cs="Calibri"/>
          <w:sz w:val="24"/>
          <w:szCs w:val="22"/>
        </w:rPr>
        <w:t>(NR)</w:t>
      </w:r>
    </w:p>
    <w:p w:rsidR="00B470BA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70BA">
        <w:rPr>
          <w:rFonts w:ascii="Calibri" w:hAnsi="Calibri" w:cs="Calibri"/>
          <w:sz w:val="24"/>
          <w:szCs w:val="22"/>
        </w:rPr>
        <w:t>Art. 2</w:t>
      </w:r>
      <w:proofErr w:type="gramStart"/>
      <w:r w:rsidRPr="00B470B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470BA">
        <w:rPr>
          <w:rFonts w:ascii="Calibri" w:hAnsi="Calibri" w:cs="Calibri"/>
          <w:sz w:val="24"/>
          <w:szCs w:val="22"/>
        </w:rPr>
        <w:t>Esta</w:t>
      </w:r>
      <w:proofErr w:type="gramEnd"/>
      <w:r w:rsidRPr="00B470BA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B470BA" w:rsidRPr="00646520" w:rsidRDefault="00B470BA" w:rsidP="00B470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3</w:t>
      </w:r>
      <w:r w:rsidR="000A763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A763A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97C5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97C5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057E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D6683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470BA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97C50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212</cp:revision>
  <cp:lastPrinted>2018-06-26T22:41:00Z</cp:lastPrinted>
  <dcterms:created xsi:type="dcterms:W3CDTF">2016-08-16T19:55:00Z</dcterms:created>
  <dcterms:modified xsi:type="dcterms:W3CDTF">2019-10-29T21:10:00Z</dcterms:modified>
</cp:coreProperties>
</file>