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E8A" w:rsidRDefault="00A56E8A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b/>
          <w:bCs/>
          <w:sz w:val="24"/>
          <w:szCs w:val="24"/>
        </w:rPr>
      </w:pPr>
    </w:p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E316DB">
        <w:rPr>
          <w:rFonts w:ascii="Arial" w:hAnsi="Arial" w:cs="Arial"/>
          <w:sz w:val="24"/>
          <w:szCs w:val="24"/>
        </w:rPr>
        <w:t>15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40129B">
        <w:rPr>
          <w:rFonts w:ascii="Arial" w:hAnsi="Arial" w:cs="Arial"/>
          <w:sz w:val="24"/>
          <w:szCs w:val="24"/>
        </w:rPr>
        <w:t>outu</w:t>
      </w:r>
      <w:r w:rsidR="007D0578">
        <w:rPr>
          <w:rFonts w:ascii="Arial" w:hAnsi="Arial" w:cs="Arial"/>
          <w:sz w:val="24"/>
          <w:szCs w:val="24"/>
        </w:rPr>
        <w:t>br</w:t>
      </w:r>
      <w:r w:rsidR="000D3ECB">
        <w:rPr>
          <w:rFonts w:ascii="Arial" w:hAnsi="Arial" w:cs="Arial"/>
          <w:sz w:val="24"/>
          <w:szCs w:val="24"/>
        </w:rPr>
        <w:t>o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0C2E41">
        <w:rPr>
          <w:rFonts w:ascii="Arial" w:hAnsi="Arial" w:cs="Arial"/>
          <w:sz w:val="24"/>
          <w:szCs w:val="24"/>
        </w:rPr>
        <w:t>, em segunda discussão e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0C2E41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0C2E41">
        <w:rPr>
          <w:rFonts w:ascii="Arial" w:hAnsi="Arial" w:cs="Arial"/>
          <w:sz w:val="24"/>
          <w:szCs w:val="24"/>
        </w:rPr>
        <w:t>017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480B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D31538">
        <w:rPr>
          <w:rFonts w:ascii="Arial" w:hAnsi="Arial" w:cs="Arial"/>
          <w:sz w:val="24"/>
          <w:szCs w:val="24"/>
        </w:rPr>
        <w:t>9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</w:p>
    <w:p w:rsidR="00EF7583" w:rsidRPr="000C2E41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2"/>
          <w:szCs w:val="22"/>
        </w:rPr>
      </w:pPr>
    </w:p>
    <w:p w:rsidR="00EF7583" w:rsidRPr="000C2E41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2"/>
          <w:szCs w:val="22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0C2E41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0C2E41">
        <w:rPr>
          <w:b/>
          <w:bCs/>
          <w:sz w:val="32"/>
          <w:szCs w:val="32"/>
        </w:rPr>
        <w:t>017</w:t>
      </w:r>
      <w:r w:rsidR="00CC2294">
        <w:rPr>
          <w:b/>
          <w:bCs/>
          <w:sz w:val="32"/>
          <w:szCs w:val="32"/>
        </w:rPr>
        <w:t>/</w:t>
      </w:r>
      <w:r w:rsidR="0050480B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D31538">
        <w:rPr>
          <w:b/>
          <w:bCs/>
          <w:sz w:val="32"/>
          <w:szCs w:val="32"/>
        </w:rPr>
        <w:t>9</w:t>
      </w:r>
    </w:p>
    <w:p w:rsidR="00CC2294" w:rsidRPr="000C2E41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0C2E41" w:rsidRDefault="00CC2294" w:rsidP="00CC2294">
      <w:pPr>
        <w:jc w:val="both"/>
        <w:rPr>
          <w:rFonts w:ascii="Arial" w:hAnsi="Arial" w:cs="Arial"/>
          <w:sz w:val="22"/>
          <w:szCs w:val="22"/>
        </w:rPr>
      </w:pPr>
    </w:p>
    <w:p w:rsidR="00CC2294" w:rsidRPr="00CC2294" w:rsidRDefault="000C2E41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0C2E41">
        <w:rPr>
          <w:rFonts w:ascii="Arial" w:hAnsi="Arial" w:cs="Arial"/>
          <w:sz w:val="22"/>
          <w:szCs w:val="22"/>
        </w:rPr>
        <w:t>Dispõe sobre os procedimentos relativos à notificação, defesa e recurso face a penalidades aplicadas no exercício do poder de polícia atribuído ao Departamento Autônomo de Água e Esgotos de Araraquara e dá outras providências.</w:t>
      </w:r>
    </w:p>
    <w:p w:rsidR="00CC2294" w:rsidRPr="000C2E41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CC2294" w:rsidRPr="000C2E41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>CAPÍTULO I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>DISPOSIÇÕES INTRODUTÓRIAS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1</w:t>
      </w:r>
      <w:proofErr w:type="gramStart"/>
      <w:r w:rsidRPr="000C2E41">
        <w:rPr>
          <w:rFonts w:ascii="Arial" w:hAnsi="Arial" w:cs="Arial"/>
          <w:sz w:val="24"/>
          <w:szCs w:val="24"/>
        </w:rPr>
        <w:t>º  Esta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lei complementar estipula os procedimentos relativos à notificação, defesa e recurso face às penalidades aplicadas no exercício do poder de polícia no âmbito Departamento Autônomo de Água e Esgotos de Araraquara (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>).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2</w:t>
      </w:r>
      <w:proofErr w:type="gramStart"/>
      <w:r w:rsidRPr="000C2E41">
        <w:rPr>
          <w:rFonts w:ascii="Arial" w:hAnsi="Arial" w:cs="Arial"/>
          <w:sz w:val="24"/>
          <w:szCs w:val="24"/>
        </w:rPr>
        <w:t>º  Para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os efeitos desta lei complementar, entende-se por: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I – notificação de infração ambiental: o documento por meio do qual o administrado é cientificado sobre a lavratura do auto de infração, </w:t>
      </w:r>
      <w:proofErr w:type="spellStart"/>
      <w:r w:rsidRPr="000C2E41">
        <w:rPr>
          <w:rFonts w:ascii="Arial" w:hAnsi="Arial" w:cs="Arial"/>
          <w:sz w:val="24"/>
          <w:szCs w:val="24"/>
        </w:rPr>
        <w:t>oportunizando-se-lhe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 o oferecimento de defesa;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II – auto de infração ambiental: o documento oficial lavrado por agente competente do órgão de fiscalização, por meio do qual é oficializada a constatação da prática de infração à legislação ambiental;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III – defesa de notificação ambiental: o documento endereçado à Junta de Julgamento de Recursos Ambientais do Município de Araraquara (JUR), que tem por escopo a defesa em primeira instância da notificação de infração ambiental;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IV – comunicado de decisão de defesa de notificação ambiental: o documento emitido pela JUR em que conste o resultado de julgamento da respectiva defesa de notificação ambiental;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V – recurso contra a improcedência da defesa de notificação ambiental: o documento endereçado ao órgão colegiado da JUR diante do julgamento de improcedência da defesa de notificação ambiental; e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VI – comunicado de decisão do recurso contra a improcedência da defesa de notificação: a decisão proferida pelo órgão colegiado da JUR em que conste o resultado do julgamento do recurso da defesa de notificação ambiental.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>CAPÍTULO II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lastRenderedPageBreak/>
        <w:t>DO PROCEDIMENTO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3</w:t>
      </w:r>
      <w:proofErr w:type="gramStart"/>
      <w:r w:rsidRPr="000C2E41">
        <w:rPr>
          <w:rFonts w:ascii="Arial" w:hAnsi="Arial" w:cs="Arial"/>
          <w:sz w:val="24"/>
          <w:szCs w:val="24"/>
        </w:rPr>
        <w:t>º  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notificação de infração ambiental dar-se-á pessoalmente, por via postal com aviso de recebimento (AR) ou por comunicado de entrega (CE), além de extrato constante de edital publicado no jornal encarregado da divulgação dos atos oficiais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>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Parágrafo único.  O auto de infração será encaminhado ao administrado via Correios, juntamente com a notificação de infração ambiental, contendo, sem prejuízo de outras informações que a autoridade administrativa julgar relevantes: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 – inscrição cadastral;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II – número de ordem de emissão;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III – identificação do infrator;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IV – data e local da constatação da infração;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V – o dispositivo de lei infringido;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VI – penalidade aplicável, bem como o boleto bancário relativo às penalidades pecuniárias correspondentes à infração praticada; e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VII – identificação do empregado público que efetuou a fiscalização e lavrou o auto de infração.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Seção I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Da defesa de notificação de infração ambiental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4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administrado notificado poderá apresentar defesa de notificação ambiental, em formulário padrão específico fixado em regulamento e disponibilizado no site oficial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>, endereçado ao julgador monocrático integrante da JUR, mediante protocolo.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prazo para apresentação da defesa de notificação ambiental será de 30 (trinta) dias corridos, contados a partir do recebimento ou da publicação do edital de notificação no jornal encarregado da divulgação dos atos oficiais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>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0C2E41">
        <w:rPr>
          <w:rFonts w:ascii="Arial" w:hAnsi="Arial" w:cs="Arial"/>
          <w:sz w:val="24"/>
          <w:szCs w:val="24"/>
        </w:rPr>
        <w:t>º  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defesa de notificação ambiental deverá apresentar, de maneira fundamentada, todos os argumentos fáticos ou jurídicos impeditivos, modificativos ou extintivos da autuação da infração, juntadas, se for o caso, as provas pertinentes.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0C2E41">
        <w:rPr>
          <w:rFonts w:ascii="Arial" w:hAnsi="Arial" w:cs="Arial"/>
          <w:sz w:val="24"/>
          <w:szCs w:val="24"/>
        </w:rPr>
        <w:t>º  Decorrido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o prazo expresso no § 1º deste artigo, restará preclusa ao administrado a via administrativa referente ao procedimento de que trata a presente lei complementar, constituindo-se em caráter definitivo a infração, impondo-se ao administrado a obrigação de cumprir as penalidades correspondentes à infração praticada, bem como a obrigação de proceder aos reparos, serviços ou correções pertinentes.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4</w:t>
      </w:r>
      <w:proofErr w:type="gramStart"/>
      <w:r w:rsidRPr="000C2E41">
        <w:rPr>
          <w:rFonts w:ascii="Arial" w:hAnsi="Arial" w:cs="Arial"/>
          <w:sz w:val="24"/>
          <w:szCs w:val="24"/>
        </w:rPr>
        <w:t>º  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decisão que julgar a defesa de notificação ambiental poderá: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I – deferir a defesa, anulando-se o auto de infração sem necessidade de anuência ou de decisão do Diretor de Gestão Ambiental, quando reconhecer de ofício ou mediante pedido na contestação a existência de defeitos formais que o tornem inválido;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lastRenderedPageBreak/>
        <w:tab/>
      </w:r>
      <w:r w:rsidRPr="000C2E41">
        <w:rPr>
          <w:rFonts w:ascii="Arial" w:hAnsi="Arial" w:cs="Arial"/>
          <w:sz w:val="24"/>
          <w:szCs w:val="24"/>
        </w:rPr>
        <w:tab/>
        <w:t>II – deferir a defesa para, no mérito, desconstituir o auto de infração, quando houver elementos capazes de infirmar o conteúdo declaratório nele contido; ou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III – decretar a sua improcedência, impondo-se ao infrator a obrigação de cumprir as penalidades correspondentes à infração praticada ou, em caso de irresignação, interpor recurso contra a improcedência da defesa de notificação ambiental.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5</w:t>
      </w:r>
      <w:proofErr w:type="gramStart"/>
      <w:r w:rsidRPr="000C2E41">
        <w:rPr>
          <w:rFonts w:ascii="Arial" w:hAnsi="Arial" w:cs="Arial"/>
          <w:sz w:val="24"/>
          <w:szCs w:val="24"/>
        </w:rPr>
        <w:t>º  Tratando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-se de nulidade sanável, o auto de infração regressará ao nível em que </w:t>
      </w:r>
      <w:proofErr w:type="spellStart"/>
      <w:r w:rsidRPr="000C2E41">
        <w:rPr>
          <w:rFonts w:ascii="Arial" w:hAnsi="Arial" w:cs="Arial"/>
          <w:sz w:val="24"/>
          <w:szCs w:val="24"/>
        </w:rPr>
        <w:t>esta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 fora verificada, a fim de que se proceda à correção do que se fizer necessário, hipótese em que o procedimento do auto de infração deverá ser remetido ao nível hierárquico da Diretoria de Gestão Ambiental.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5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comunicado de decisão de defesa de notificação ambiental será feito de acordo com o art. 3º desta lei complementar.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Seção II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Do recurso contra a improcedência da defesa de notificação ambiental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6</w:t>
      </w:r>
      <w:proofErr w:type="gramStart"/>
      <w:r w:rsidRPr="000C2E41">
        <w:rPr>
          <w:rFonts w:ascii="Arial" w:hAnsi="Arial" w:cs="Arial"/>
          <w:sz w:val="24"/>
          <w:szCs w:val="24"/>
        </w:rPr>
        <w:t xml:space="preserve">º  </w:t>
      </w:r>
      <w:proofErr w:type="spellStart"/>
      <w:r w:rsidRPr="000C2E41">
        <w:rPr>
          <w:rFonts w:ascii="Arial" w:hAnsi="Arial" w:cs="Arial"/>
          <w:sz w:val="24"/>
          <w:szCs w:val="24"/>
        </w:rPr>
        <w:t>Irresignando</w:t>
      </w:r>
      <w:proofErr w:type="gramEnd"/>
      <w:r w:rsidRPr="000C2E41">
        <w:rPr>
          <w:rFonts w:ascii="Arial" w:hAnsi="Arial" w:cs="Arial"/>
          <w:sz w:val="24"/>
          <w:szCs w:val="24"/>
        </w:rPr>
        <w:t>-se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 contra a decisão que julgar improcedente a defesa de notificação, o administrado poderá interpor recurso contra a improcedência da defesa de notificação ambiental, em formulário padrão específico fixado em regulamento e disponibilizado no site oficial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>, endereçado ao órgão colegiado da JUR, mediante protocolo.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recurso contra a improcedência da defesa de notificação deverá ser interposto no prazo de 10 (dez) dias corridos, contados a partir da publicação do comunicado de decisão de defesa de notificação no jornal encarregado da divulgação dos atos oficiais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recurso contra a improcedência da defesa de notificação deverá apresentar, de maneira fundamentada, todos os argumentos fáticos ou jurídicos que impliquem: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 – na nulidade da decisão que julgou improcedente a defesa de notificação ou na nulidade da autuação da infração;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II – na reversão da decisão que julgou improcedente a defesa de notificação; ou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III – na desclassificação da infração autuada para outra infração prevista na legislação municipal.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7º  Não apresentado o recurso contra a improcedência da defesa de notificação ambiental nas formas e prazos previstos no art. 6º desta lei complementar, restará preclusa ao administrado a via administrativa referente ao procedimento de que trata a presente lei complementar, constituindo-se em caráter definitivo a infração, impondo-se ao administrado a obrigação de cumprir as penalidades correspondentes à infração praticada, bem como a obrigação de proceder aos reparos, serviços ou correções pertinentes.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lastRenderedPageBreak/>
        <w:tab/>
      </w:r>
      <w:r w:rsidRPr="000C2E41">
        <w:rPr>
          <w:rFonts w:ascii="Arial" w:hAnsi="Arial" w:cs="Arial"/>
          <w:sz w:val="24"/>
          <w:szCs w:val="24"/>
        </w:rPr>
        <w:tab/>
        <w:t>Art. 8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comunicado de decisão do recurso contra a improcedência da defesa de notificação será publicado no jornal encarregado da divulgação dos atos oficiais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 e também será encaminhado ao administrado via Correios.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0C2E41">
        <w:rPr>
          <w:rFonts w:ascii="Arial" w:hAnsi="Arial" w:cs="Arial"/>
          <w:sz w:val="24"/>
          <w:szCs w:val="24"/>
        </w:rPr>
        <w:t>º  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decisão que der provimento ao recurso contra a improcedência da defesa de notificação poderá: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I – implicar na extinção e o consequente arquivamento do auto de infração; 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II – desclassificar a infração então autuada para outra infração prevista na legislação municipal; ou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III – declarar a nulidade da decisão que julgou improcedente a defesa de notificação ou a nulidade da autuação da infração.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0C2E41">
        <w:rPr>
          <w:rFonts w:ascii="Arial" w:hAnsi="Arial" w:cs="Arial"/>
          <w:sz w:val="24"/>
          <w:szCs w:val="24"/>
        </w:rPr>
        <w:t>º  Tratando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-se de nulidade sanável, o auto de infração regressará ao nível em que </w:t>
      </w:r>
      <w:proofErr w:type="spellStart"/>
      <w:r w:rsidRPr="000C2E41">
        <w:rPr>
          <w:rFonts w:ascii="Arial" w:hAnsi="Arial" w:cs="Arial"/>
          <w:sz w:val="24"/>
          <w:szCs w:val="24"/>
        </w:rPr>
        <w:t>esta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 fora verificada, a fim de que se proceda à correção do que se fizer necessário, hipótese em que o procedimento do auto de infração deverá ser remetido ao nível hierárquico da Diretoria de Gestão Ambiental.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0C2E41">
        <w:rPr>
          <w:rFonts w:ascii="Arial" w:hAnsi="Arial" w:cs="Arial"/>
          <w:sz w:val="24"/>
          <w:szCs w:val="24"/>
        </w:rPr>
        <w:t>º  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decisão que não prover o recurso contra a improcedência da defesa de notificação ambiental constituirá, em caráter definitivo, na esfera da administração municipal, a infração, impondo-se ao infrator a obrigação de cumprir as penalidades correspondentes à infração praticada, bem como a obrigação de proceder aos reparos, serviços ou correções pertinentes.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4</w:t>
      </w:r>
      <w:proofErr w:type="gramStart"/>
      <w:r w:rsidRPr="000C2E41">
        <w:rPr>
          <w:rFonts w:ascii="Arial" w:hAnsi="Arial" w:cs="Arial"/>
          <w:sz w:val="24"/>
          <w:szCs w:val="24"/>
        </w:rPr>
        <w:t>º  À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decisão prevista no inciso II do § 1º deste artigo aplica-se, no que for cabível, o disposto no § 3º deste artigo.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Seção III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Da execução das penalidades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9</w:t>
      </w:r>
      <w:proofErr w:type="gramStart"/>
      <w:r w:rsidRPr="000C2E41">
        <w:rPr>
          <w:rFonts w:ascii="Arial" w:hAnsi="Arial" w:cs="Arial"/>
          <w:sz w:val="24"/>
          <w:szCs w:val="24"/>
        </w:rPr>
        <w:t>º  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interposição do recurso contra a improcedência da defesa de notificação terá efeito suspensivo sobre a aplicação das penalidades, inclusive no que tange à incidência de multas e respectivos de juros.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Art. 10.  Estando preclusa ou transitada em julgado a decisão administrativa que aplique penalidades ao infrator, caberá ao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 tomar as providências a fim de efetivar a aplicação das respectivas penalidades, inclusive no que tange à expedição de boleto bancário para o recolhimento de multas.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prazo para pagamento das multas será fixado em regulamento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0C2E41">
        <w:rPr>
          <w:rFonts w:ascii="Arial" w:hAnsi="Arial" w:cs="Arial"/>
          <w:sz w:val="24"/>
          <w:szCs w:val="24"/>
        </w:rPr>
        <w:t>º  Ultrapassado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o prazo do § 1º deste artigo sem que tenham sido pagas as multas, deverá 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 adotar as providências necessárias a fim de que se proceda a sua inscrição em dívida ativa.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>CAPÍTULO III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lastRenderedPageBreak/>
        <w:t>DA JUR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Art. 11.  Fica criada a JUR, com atribuição de julgar a defesa de notificação ambiental e o recurso contra a improcedência da defesa de notificação ambiental.  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Seção I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Da constituição e da composição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Art. 12.  A JUR será composta por 4 (quatro) membros, todos empregados públicos efetivos da autarquia, que deverão possuir conhecimento técnico para o desempenho da função e serão designados mediante portaria da Superintendência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>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0C2E41">
        <w:rPr>
          <w:rFonts w:ascii="Arial" w:hAnsi="Arial" w:cs="Arial"/>
          <w:sz w:val="24"/>
          <w:szCs w:val="24"/>
        </w:rPr>
        <w:t>º  Para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cada membro nomeado, deverá ser designado um suplente, que somente atuará em caso de ausência, suspeição, afastamento, impedimento, férias ou licença de qualquer natureza.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0C2E41">
        <w:rPr>
          <w:rFonts w:ascii="Arial" w:hAnsi="Arial" w:cs="Arial"/>
          <w:sz w:val="24"/>
          <w:szCs w:val="24"/>
        </w:rPr>
        <w:t>º  Em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se alterando mais da metade dos membros originariamente designados, será obrigatória a edição de nova portaria conjunta de designação.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membro da JUR, devidamente indicado e nomeado, perceberá mensalmente, em folha de pagamento, gratificação correspondente ao exercício da função no valor de R$ 663,60 (seiscentos</w:t>
      </w:r>
      <w:bookmarkStart w:id="0" w:name="_GoBack"/>
      <w:bookmarkEnd w:id="0"/>
      <w:r w:rsidRPr="000C2E41">
        <w:rPr>
          <w:rFonts w:ascii="Arial" w:hAnsi="Arial" w:cs="Arial"/>
          <w:sz w:val="24"/>
          <w:szCs w:val="24"/>
        </w:rPr>
        <w:t xml:space="preserve"> e sessenta três reais e sessenta centavos), reajustáveis anualmente, mediante decreto do Poder Executivo, de acordo com o índice oficial da inflação.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4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membro suplente somente perceberá o valor previsto no § 3º deste artigo no exercício da titularidade.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5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membro da JUR terá mandato de 3 (três) anos, prorrogável uma única vez por igual prazo.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6</w:t>
      </w:r>
      <w:proofErr w:type="gramStart"/>
      <w:r w:rsidRPr="000C2E41">
        <w:rPr>
          <w:rFonts w:ascii="Arial" w:hAnsi="Arial" w:cs="Arial"/>
          <w:sz w:val="24"/>
          <w:szCs w:val="24"/>
        </w:rPr>
        <w:t>º  Na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forma de ato expedido pela Superintendência, a JUR terá ¼ (um quarto) da composição de seus membros alterada a cada 2 (dois) anos.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7</w:t>
      </w:r>
      <w:proofErr w:type="gramStart"/>
      <w:r w:rsidRPr="000C2E41">
        <w:rPr>
          <w:rFonts w:ascii="Arial" w:hAnsi="Arial" w:cs="Arial"/>
          <w:sz w:val="24"/>
          <w:szCs w:val="24"/>
        </w:rPr>
        <w:t>º  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gratificação prevista neste artigo: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I – tem natureza indenizatória, não se incorporando à remuneração do empregado público, tampouco atraindo a incidência de quaisquer contribuições trabalhistas, previdenciárias ou fiscais; e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II – não exime o seu beneficiário do desempenho das demais atribuições inerentes ao emprego público efetivo por ele ocupado.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Seção II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b/>
          <w:sz w:val="24"/>
          <w:szCs w:val="24"/>
        </w:rPr>
      </w:pPr>
      <w:r w:rsidRPr="000C2E41">
        <w:rPr>
          <w:rFonts w:ascii="Arial" w:hAnsi="Arial" w:cs="Arial"/>
          <w:b/>
          <w:sz w:val="24"/>
          <w:szCs w:val="24"/>
        </w:rPr>
        <w:t>Das atribuições e dos julgamentos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13.  O julgamento da defesa de notificação ambiental será feito monocraticamente por um integrante da JUR, designado mediante distribuição igualitária.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Art. 14.  O julgamento do recurso contra a improcedência da defesa de notificação ambiental será feito pelo órgão colegiado da JUR, composto por no mínimo 2 (dois) e no máximo 3 (três) integrantes.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1</w:t>
      </w:r>
      <w:proofErr w:type="gramStart"/>
      <w:r w:rsidRPr="000C2E41">
        <w:rPr>
          <w:rFonts w:ascii="Arial" w:hAnsi="Arial" w:cs="Arial"/>
          <w:sz w:val="24"/>
          <w:szCs w:val="24"/>
        </w:rPr>
        <w:t>º  As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decisões proferidas pelo órgão colegiado serão tomadas por 2 (dois) membros; havendo empate, o terceiro julgador será convocado para proferir o voto de desempate.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2</w:t>
      </w:r>
      <w:proofErr w:type="gramStart"/>
      <w:r w:rsidRPr="000C2E41">
        <w:rPr>
          <w:rFonts w:ascii="Arial" w:hAnsi="Arial" w:cs="Arial"/>
          <w:sz w:val="24"/>
          <w:szCs w:val="24"/>
        </w:rPr>
        <w:t>º  O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integrante da JUR que tiver proferido decisão sobre a defesa de notificação ambiental estará impedido de participar do julgamento do recurso contra a improcedência da defesa de notificação ambiental.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§ 3</w:t>
      </w:r>
      <w:proofErr w:type="gramStart"/>
      <w:r w:rsidRPr="000C2E41">
        <w:rPr>
          <w:rFonts w:ascii="Arial" w:hAnsi="Arial" w:cs="Arial"/>
          <w:sz w:val="24"/>
          <w:szCs w:val="24"/>
        </w:rPr>
        <w:t>º  A</w:t>
      </w:r>
      <w:proofErr w:type="gramEnd"/>
      <w:r w:rsidRPr="000C2E41">
        <w:rPr>
          <w:rFonts w:ascii="Arial" w:hAnsi="Arial" w:cs="Arial"/>
          <w:sz w:val="24"/>
          <w:szCs w:val="24"/>
        </w:rPr>
        <w:t xml:space="preserve"> competência do órgão colegiado da JUR cinge-se, exclusivamente, para o julgamento dos recursos contra a improcedência da defesa de notificação ambiental interpostos contra a decisão de improcedência da defesa de notificação ambiental.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15.  O órgão colegiado da JUR se reunirá, ordinariamente, no mínimo 1 (uma) vez a cada semana, devendo cada reunião contar com ao menos 3 (três) membros, titulares ou suplentes.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Art. 16.  A JUR, quando concluir pela necessidade, poderá determinar a realização de diligência, fixando-lhe prazo.  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>CAPÍTULO IV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center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>DISPOSIÇÕES FINAIS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Art. 17.  Os processos administrativos conclusos serão arquivados no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>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 xml:space="preserve">Art. 18.  Todo o conteúdo da publicação em jornal encarregado da divulgação dos atos oficiais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 xml:space="preserve"> será igualmente disponibilizado no site oficial do </w:t>
      </w:r>
      <w:proofErr w:type="spellStart"/>
      <w:r w:rsidRPr="000C2E41">
        <w:rPr>
          <w:rFonts w:ascii="Arial" w:hAnsi="Arial" w:cs="Arial"/>
          <w:sz w:val="24"/>
          <w:szCs w:val="24"/>
        </w:rPr>
        <w:t>Daae</w:t>
      </w:r>
      <w:proofErr w:type="spellEnd"/>
      <w:r w:rsidRPr="000C2E41">
        <w:rPr>
          <w:rFonts w:ascii="Arial" w:hAnsi="Arial" w:cs="Arial"/>
          <w:sz w:val="24"/>
          <w:szCs w:val="24"/>
        </w:rPr>
        <w:t>.</w:t>
      </w:r>
    </w:p>
    <w:p w:rsidR="000C2E41" w:rsidRPr="000C2E41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8B13B9" w:rsidRDefault="000C2E41" w:rsidP="000C2E4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0C2E41">
        <w:rPr>
          <w:rFonts w:ascii="Arial" w:hAnsi="Arial" w:cs="Arial"/>
          <w:sz w:val="24"/>
          <w:szCs w:val="24"/>
        </w:rPr>
        <w:tab/>
      </w:r>
      <w:r w:rsidRPr="000C2E41">
        <w:rPr>
          <w:rFonts w:ascii="Arial" w:hAnsi="Arial" w:cs="Arial"/>
          <w:sz w:val="24"/>
          <w:szCs w:val="24"/>
        </w:rPr>
        <w:tab/>
        <w:t>Art. 19.  Esta lei complementar entra em vigor na data de sua publicação.</w:t>
      </w:r>
    </w:p>
    <w:p w:rsidR="008B13B9" w:rsidRPr="000C2E41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2"/>
          <w:szCs w:val="22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0C2E41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Pr="000C2E41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D31538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Paulo Landim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0C2E41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Pr="000C2E41" w:rsidRDefault="00844E26" w:rsidP="00844E26">
      <w:pPr>
        <w:ind w:left="34"/>
        <w:jc w:val="center"/>
        <w:rPr>
          <w:rFonts w:ascii="Arial" w:hAnsi="Arial" w:cs="Arial"/>
          <w:bCs/>
          <w:sz w:val="22"/>
          <w:szCs w:val="22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8B13B9" w:rsidRDefault="00D31538" w:rsidP="00D31538">
      <w:pPr>
        <w:ind w:left="3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José Carlos Porsani                                                 Lucas Grecco</w:t>
      </w:r>
    </w:p>
    <w:sectPr w:rsidR="00C110DC" w:rsidRPr="008B13B9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E41">
          <w:rPr>
            <w:noProof/>
          </w:rPr>
          <w:t>4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C2E41"/>
    <w:rsid w:val="000D05C0"/>
    <w:rsid w:val="000D3ECB"/>
    <w:rsid w:val="00177DCD"/>
    <w:rsid w:val="001B0F01"/>
    <w:rsid w:val="00242A1A"/>
    <w:rsid w:val="002F4BE3"/>
    <w:rsid w:val="002F6514"/>
    <w:rsid w:val="002F7149"/>
    <w:rsid w:val="00324BB5"/>
    <w:rsid w:val="003F07FB"/>
    <w:rsid w:val="0040129B"/>
    <w:rsid w:val="00401ED0"/>
    <w:rsid w:val="004423DA"/>
    <w:rsid w:val="004D6249"/>
    <w:rsid w:val="0050480B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D0578"/>
    <w:rsid w:val="008021DA"/>
    <w:rsid w:val="0084027C"/>
    <w:rsid w:val="00844E26"/>
    <w:rsid w:val="00877B64"/>
    <w:rsid w:val="008A32CD"/>
    <w:rsid w:val="008B13B9"/>
    <w:rsid w:val="008B53A7"/>
    <w:rsid w:val="008D3A37"/>
    <w:rsid w:val="00970EA1"/>
    <w:rsid w:val="009C6450"/>
    <w:rsid w:val="009E0C3A"/>
    <w:rsid w:val="00A00141"/>
    <w:rsid w:val="00A21A11"/>
    <w:rsid w:val="00A56E8A"/>
    <w:rsid w:val="00AB6A5E"/>
    <w:rsid w:val="00AE69B6"/>
    <w:rsid w:val="00BC755B"/>
    <w:rsid w:val="00C110DC"/>
    <w:rsid w:val="00C169CA"/>
    <w:rsid w:val="00C622BE"/>
    <w:rsid w:val="00C80339"/>
    <w:rsid w:val="00CC2294"/>
    <w:rsid w:val="00CE7817"/>
    <w:rsid w:val="00D245ED"/>
    <w:rsid w:val="00D31538"/>
    <w:rsid w:val="00DC0668"/>
    <w:rsid w:val="00E123C5"/>
    <w:rsid w:val="00E159CD"/>
    <w:rsid w:val="00E316DB"/>
    <w:rsid w:val="00E819AB"/>
    <w:rsid w:val="00E85196"/>
    <w:rsid w:val="00E90C7A"/>
    <w:rsid w:val="00EF7583"/>
    <w:rsid w:val="00F363D2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1970</Words>
  <Characters>11242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13186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2019-10-15T14:54:00Z</dcterms:modified>
</cp:coreProperties>
</file>