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418/2019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um crédito adicional suplementar, no valor de R$ 20.000,00 (vinte mil reais), para o pagamento de PIS/Pasep - pessoa jurídica de direito público da Controladoria,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A5" w:rsidRDefault="001F40A5" w:rsidP="00126850">
      <w:pPr>
        <w:spacing w:line="240" w:lineRule="auto"/>
      </w:pPr>
      <w:r>
        <w:separator/>
      </w:r>
    </w:p>
  </w:endnote>
  <w:endnote w:type="continuationSeparator" w:id="0">
    <w:p w:rsidR="001F40A5" w:rsidRDefault="001F40A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9202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9202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A5" w:rsidRDefault="001F40A5" w:rsidP="00126850">
      <w:pPr>
        <w:spacing w:line="240" w:lineRule="auto"/>
      </w:pPr>
      <w:r>
        <w:separator/>
      </w:r>
    </w:p>
  </w:footnote>
  <w:footnote w:type="continuationSeparator" w:id="0">
    <w:p w:rsidR="001F40A5" w:rsidRDefault="001F40A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40A5"/>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2028"/>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CC11-29E7-472F-BE33-02DBE533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942</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2019-10-04T11:30:00Z</dcterms:modified>
</cp:coreProperties>
</file>