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418/2019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329/2019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na Controladoria do Transporte de Araraquara, um crédito adicional suplementar, no valor de R$ 20.000,00 (vinte mil reais), para o pagamento de PIS/Pasep - pessoa jurídica de direito público da Controladoria,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0A5" w:rsidRDefault="001F40A5" w:rsidP="00126850">
      <w:pPr>
        <w:spacing w:line="240" w:lineRule="auto"/>
      </w:pPr>
      <w:r>
        <w:separator/>
      </w:r>
    </w:p>
  </w:endnote>
  <w:endnote w:type="continuationSeparator" w:id="0">
    <w:p w:rsidR="001F40A5" w:rsidRDefault="001F40A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92028">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92028">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0A5" w:rsidRDefault="001F40A5" w:rsidP="00126850">
      <w:pPr>
        <w:spacing w:line="240" w:lineRule="auto"/>
      </w:pPr>
      <w:r>
        <w:separator/>
      </w:r>
    </w:p>
  </w:footnote>
  <w:footnote w:type="continuationSeparator" w:id="0">
    <w:p w:rsidR="001F40A5" w:rsidRDefault="001F40A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40A5"/>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2028"/>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6CC11-29E7-472F-BE33-02DBE533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942</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2019-10-04T11:30:00Z</dcterms:modified>
</cp:coreProperties>
</file>