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419/2019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330/2019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um crédito adicional especial, no valor de R$ 9.000,00 (nove mil reais), para o pagamento de premiação do concurso público que escolheu projeto básico de arquitetura para abrigo de ônibus de passageiros do transporte público municipal para a Praça Santos Dumont,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78" w:rsidRDefault="005B3F78" w:rsidP="00126850">
      <w:pPr>
        <w:spacing w:line="240" w:lineRule="auto"/>
      </w:pPr>
      <w:r>
        <w:separator/>
      </w:r>
    </w:p>
  </w:endnote>
  <w:endnote w:type="continuationSeparator" w:id="0">
    <w:p w:rsidR="005B3F78" w:rsidRDefault="005B3F7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D157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D157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78" w:rsidRDefault="005B3F78" w:rsidP="00126850">
      <w:pPr>
        <w:spacing w:line="240" w:lineRule="auto"/>
      </w:pPr>
      <w:r>
        <w:separator/>
      </w:r>
    </w:p>
  </w:footnote>
  <w:footnote w:type="continuationSeparator" w:id="0">
    <w:p w:rsidR="005B3F78" w:rsidRDefault="005B3F7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1579"/>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B3F78"/>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FA75-67B6-4857-922D-7A9DF716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2019-10-04T11:30:00Z</dcterms:modified>
</cp:coreProperties>
</file>