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EB0766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R$ 1.000.000,00 (um milhão de reais), para a manutenção dos serviços hospitalares e ambulatoriais de média e alta complexidade através do Fundo de Ações Estratégicas e Compensação,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EB076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A2A" w:rsidRDefault="00F10A2A" w:rsidP="00126850">
      <w:pPr>
        <w:spacing w:line="240" w:lineRule="auto"/>
      </w:pPr>
      <w:r>
        <w:separator/>
      </w:r>
    </w:p>
  </w:endnote>
  <w:endnote w:type="continuationSeparator" w:id="0">
    <w:p w:rsidR="00F10A2A" w:rsidRDefault="00F10A2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07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B076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A2A" w:rsidRDefault="00F10A2A" w:rsidP="00126850">
      <w:pPr>
        <w:spacing w:line="240" w:lineRule="auto"/>
      </w:pPr>
      <w:r>
        <w:separator/>
      </w:r>
    </w:p>
  </w:footnote>
  <w:footnote w:type="continuationSeparator" w:id="0">
    <w:p w:rsidR="00F10A2A" w:rsidRDefault="00F10A2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766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0A2A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30C1D-E71C-41EB-82D5-70A7F2F9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2019-09-20T11:26:00Z</dcterms:modified>
</cp:coreProperties>
</file>