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R$ 2.772.594,75 (dois milhões, setecentos e setenta e dois mil, quinhentos e noventa e quatro reais e setenta e cinco centavos), para as ações de Vigilância em Saúde e na Atenção Primária em Saúde,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02" w:rsidRDefault="00B41B02" w:rsidP="00126850">
      <w:pPr>
        <w:spacing w:line="240" w:lineRule="auto"/>
      </w:pPr>
      <w:r>
        <w:separator/>
      </w:r>
    </w:p>
  </w:endnote>
  <w:endnote w:type="continuationSeparator" w:id="0">
    <w:p w:rsidR="00B41B02" w:rsidRDefault="00B41B0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246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246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02" w:rsidRDefault="00B41B02" w:rsidP="00126850">
      <w:pPr>
        <w:spacing w:line="240" w:lineRule="auto"/>
      </w:pPr>
      <w:r>
        <w:separator/>
      </w:r>
    </w:p>
  </w:footnote>
  <w:footnote w:type="continuationSeparator" w:id="0">
    <w:p w:rsidR="00B41B02" w:rsidRDefault="00B41B0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246C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1B02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19C5-CBE8-40B3-B87A-8CE29477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2019-09-12T22:45:00Z</dcterms:modified>
</cp:coreProperties>
</file>