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392/2019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307/2019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R$ 2.772.594,75 (dois milhões, setecentos e setenta e dois mil, quinhentos e noventa e quatro reais e setenta e cinco centavos), para as ações de Vigilância em Saúde e na Atenção Primária em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46D" w:rsidRDefault="0091146D" w:rsidP="00126850">
      <w:pPr>
        <w:spacing w:line="240" w:lineRule="auto"/>
      </w:pPr>
      <w:r>
        <w:separator/>
      </w:r>
    </w:p>
  </w:endnote>
  <w:endnote w:type="continuationSeparator" w:id="0">
    <w:p w:rsidR="0091146D" w:rsidRDefault="0091146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C638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C638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46D" w:rsidRDefault="0091146D" w:rsidP="00126850">
      <w:pPr>
        <w:spacing w:line="240" w:lineRule="auto"/>
      </w:pPr>
      <w:r>
        <w:separator/>
      </w:r>
    </w:p>
  </w:footnote>
  <w:footnote w:type="continuationSeparator" w:id="0">
    <w:p w:rsidR="0091146D" w:rsidRDefault="0091146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638E"/>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146D"/>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A30FD-54C7-40F6-A776-221423AAA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1039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2019-09-12T22:44:00Z</dcterms:modified>
</cp:coreProperties>
</file>